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47F59" w14:textId="2B81040E" w:rsidR="00D268DA" w:rsidRPr="00E17E61" w:rsidRDefault="006771C1" w:rsidP="00D268DA">
      <w:pPr>
        <w:spacing w:after="0" w:line="240" w:lineRule="auto"/>
        <w:ind w:left="771"/>
        <w:rPr>
          <w:rFonts w:ascii="Book Antiqua" w:eastAsia="SimSun" w:hAnsi="Book Antiqua" w:cs="Times New Roman"/>
          <w:color w:val="000000" w:themeColor="text1"/>
          <w:lang w:eastAsia="en-US"/>
        </w:rPr>
      </w:pPr>
      <w:r w:rsidRPr="00E17E61">
        <w:rPr>
          <w:rFonts w:ascii="Book Antiqua" w:eastAsia="Malgun Gothic" w:hAnsi="Book Antiqua" w:cs="Tahoma"/>
          <w:noProof/>
          <w:color w:val="000000" w:themeColor="text1"/>
          <w:sz w:val="20"/>
          <w:szCs w:val="20"/>
          <w:lang w:eastAsia="en-US"/>
        </w:rPr>
        <w:drawing>
          <wp:anchor distT="0" distB="0" distL="114300" distR="114300" simplePos="0" relativeHeight="251655680" behindDoc="0" locked="0" layoutInCell="1" allowOverlap="1" wp14:anchorId="5AEAB5F8" wp14:editId="44D9DF95">
            <wp:simplePos x="0" y="0"/>
            <wp:positionH relativeFrom="margin">
              <wp:posOffset>3680460</wp:posOffset>
            </wp:positionH>
            <wp:positionV relativeFrom="paragraph">
              <wp:posOffset>5080</wp:posOffset>
            </wp:positionV>
            <wp:extent cx="2293620" cy="448310"/>
            <wp:effectExtent l="0" t="0" r="0" b="8890"/>
            <wp:wrapThrough wrapText="bothSides">
              <wp:wrapPolygon edited="0">
                <wp:start x="0" y="0"/>
                <wp:lineTo x="0" y="21110"/>
                <wp:lineTo x="21349" y="21110"/>
                <wp:lineTo x="21349"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93620" cy="448310"/>
                    </a:xfrm>
                    <a:prstGeom prst="rect">
                      <a:avLst/>
                    </a:prstGeom>
                  </pic:spPr>
                </pic:pic>
              </a:graphicData>
            </a:graphic>
            <wp14:sizeRelH relativeFrom="page">
              <wp14:pctWidth>0</wp14:pctWidth>
            </wp14:sizeRelH>
            <wp14:sizeRelV relativeFrom="page">
              <wp14:pctHeight>0</wp14:pctHeight>
            </wp14:sizeRelV>
          </wp:anchor>
        </w:drawing>
      </w:r>
      <w:r w:rsidRPr="00E17E61">
        <w:rPr>
          <w:rFonts w:ascii="Book Antiqua" w:eastAsia="Malgun Gothic" w:hAnsi="Book Antiqua" w:cs="Tahoma"/>
          <w:noProof/>
          <w:color w:val="000000" w:themeColor="text1"/>
          <w:sz w:val="20"/>
          <w:szCs w:val="20"/>
        </w:rPr>
        <w:drawing>
          <wp:anchor distT="0" distB="0" distL="114300" distR="114300" simplePos="0" relativeHeight="251654656" behindDoc="0" locked="0" layoutInCell="1" allowOverlap="1" wp14:anchorId="24BCEFD9" wp14:editId="75632520">
            <wp:simplePos x="0" y="0"/>
            <wp:positionH relativeFrom="column">
              <wp:posOffset>7620</wp:posOffset>
            </wp:positionH>
            <wp:positionV relativeFrom="paragraph">
              <wp:posOffset>7620</wp:posOffset>
            </wp:positionV>
            <wp:extent cx="1684020" cy="544830"/>
            <wp:effectExtent l="0" t="0" r="0" b="7620"/>
            <wp:wrapThrough wrapText="bothSides">
              <wp:wrapPolygon edited="0">
                <wp:start x="0" y="0"/>
                <wp:lineTo x="0" y="21147"/>
                <wp:lineTo x="21258" y="21147"/>
                <wp:lineTo x="212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4020" cy="54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68DA" w:rsidRPr="00E17E61">
        <w:rPr>
          <w:rFonts w:ascii="Book Antiqua" w:eastAsia="Malgun Gothic" w:hAnsi="Book Antiqua" w:cs="Tahoma"/>
          <w:color w:val="000000" w:themeColor="text1"/>
          <w:sz w:val="20"/>
          <w:szCs w:val="20"/>
          <w:lang w:eastAsia="en-US"/>
        </w:rPr>
        <w:t xml:space="preserve">            </w:t>
      </w:r>
    </w:p>
    <w:p w14:paraId="3CF64C6E" w14:textId="77777777" w:rsidR="00D268DA" w:rsidRPr="00E17E61" w:rsidRDefault="00D268DA" w:rsidP="00D268DA">
      <w:pPr>
        <w:spacing w:after="0" w:line="300" w:lineRule="exact"/>
        <w:rPr>
          <w:rFonts w:ascii="Book Antiqua" w:eastAsia="Malgun Gothic" w:hAnsi="Book Antiqua" w:cs="Tahoma"/>
          <w:iCs/>
          <w:color w:val="000000" w:themeColor="text1"/>
          <w:szCs w:val="20"/>
          <w:lang w:eastAsia="en-US"/>
        </w:rPr>
      </w:pPr>
    </w:p>
    <w:p w14:paraId="4FDEDC4B" w14:textId="77777777" w:rsidR="00D268DA" w:rsidRPr="00E17E61" w:rsidRDefault="00D268DA" w:rsidP="00D268DA">
      <w:pPr>
        <w:spacing w:after="0" w:line="300" w:lineRule="exact"/>
        <w:rPr>
          <w:rFonts w:ascii="Book Antiqua" w:eastAsia="Malgun Gothic" w:hAnsi="Book Antiqua" w:cs="Tahoma"/>
          <w:iCs/>
          <w:color w:val="000000" w:themeColor="text1"/>
          <w:szCs w:val="20"/>
          <w:lang w:eastAsia="en-US"/>
        </w:rPr>
      </w:pPr>
    </w:p>
    <w:p w14:paraId="33B61C43" w14:textId="77777777" w:rsidR="00D268DA" w:rsidRPr="00E17E61" w:rsidRDefault="00D268DA" w:rsidP="00D268DA">
      <w:pPr>
        <w:spacing w:after="0" w:line="276" w:lineRule="auto"/>
        <w:rPr>
          <w:rFonts w:ascii="Book Antiqua" w:eastAsia="Malgun Gothic" w:hAnsi="Book Antiqua" w:cs="Tahoma"/>
          <w:iCs/>
          <w:color w:val="000000" w:themeColor="text1"/>
          <w:szCs w:val="20"/>
          <w:lang w:eastAsia="en-US"/>
        </w:rPr>
      </w:pP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775"/>
        <w:gridCol w:w="3206"/>
      </w:tblGrid>
      <w:tr w:rsidR="00E65899" w:rsidRPr="00E17E61" w14:paraId="0517243E" w14:textId="77777777" w:rsidTr="003D6340">
        <w:trPr>
          <w:trHeight w:val="1456"/>
        </w:trPr>
        <w:tc>
          <w:tcPr>
            <w:tcW w:w="5670" w:type="dxa"/>
            <w:shd w:val="clear" w:color="auto" w:fill="auto"/>
          </w:tcPr>
          <w:p w14:paraId="6C670935" w14:textId="77777777" w:rsidR="00D268DA" w:rsidRPr="00E17E61" w:rsidRDefault="00D268DA" w:rsidP="00D268DA">
            <w:pPr>
              <w:snapToGrid w:val="0"/>
              <w:spacing w:line="276" w:lineRule="auto"/>
              <w:rPr>
                <w:rFonts w:ascii="Book Antiqua" w:eastAsia="Malgun Gothic" w:hAnsi="Book Antiqua" w:cs="Tahoma"/>
                <w:b/>
                <w:bCs/>
                <w:color w:val="000000" w:themeColor="text1"/>
                <w:lang w:eastAsia="en-US"/>
              </w:rPr>
            </w:pPr>
            <w:r w:rsidRPr="00E17E61">
              <w:rPr>
                <w:rFonts w:ascii="Book Antiqua" w:eastAsia="Malgun Gothic" w:hAnsi="Book Antiqua" w:cs="Tahoma"/>
                <w:b/>
                <w:bCs/>
                <w:color w:val="000000" w:themeColor="text1"/>
                <w:lang w:eastAsia="en-US"/>
              </w:rPr>
              <w:t>UNITED NATIONS ECONOMIC AND SOCIAL COMMISSION FOR ASIA AND THE PACIFIC</w:t>
            </w:r>
          </w:p>
          <w:p w14:paraId="3C7DD434" w14:textId="77777777" w:rsidR="00F54418" w:rsidRDefault="00F54418" w:rsidP="00E65899">
            <w:pPr>
              <w:snapToGrid w:val="0"/>
              <w:spacing w:line="276" w:lineRule="auto"/>
              <w:rPr>
                <w:rFonts w:ascii="Book Antiqua" w:eastAsia="Malgun Gothic" w:hAnsi="Book Antiqua" w:cs="Arial"/>
                <w:color w:val="000000" w:themeColor="text1"/>
                <w:lang w:eastAsia="ko-KR"/>
              </w:rPr>
            </w:pPr>
          </w:p>
          <w:p w14:paraId="2F2427D4" w14:textId="60B28AA5" w:rsidR="00E65899" w:rsidRPr="00E17E61" w:rsidRDefault="00D268DA" w:rsidP="00E65899">
            <w:pPr>
              <w:snapToGrid w:val="0"/>
              <w:spacing w:line="276" w:lineRule="auto"/>
              <w:rPr>
                <w:rFonts w:ascii="Book Antiqua" w:eastAsia="Malgun Gothic" w:hAnsi="Book Antiqua" w:cs="Arial"/>
                <w:color w:val="000000" w:themeColor="text1"/>
                <w:lang w:eastAsia="ko-KR"/>
              </w:rPr>
            </w:pPr>
            <w:r w:rsidRPr="00E17E61">
              <w:rPr>
                <w:rFonts w:ascii="Book Antiqua" w:eastAsia="Malgun Gothic" w:hAnsi="Book Antiqua" w:cs="Arial"/>
                <w:color w:val="000000" w:themeColor="text1"/>
                <w:lang w:eastAsia="ko-KR"/>
              </w:rPr>
              <w:t>Meeting of NEA</w:t>
            </w:r>
            <w:r w:rsidR="00E65899" w:rsidRPr="00E17E61">
              <w:rPr>
                <w:rFonts w:ascii="Book Antiqua" w:eastAsia="Malgun Gothic" w:hAnsi="Book Antiqua" w:cs="Arial"/>
                <w:color w:val="000000" w:themeColor="text1"/>
                <w:lang w:eastAsia="ko-KR"/>
              </w:rPr>
              <w:t xml:space="preserve">SPEC National Focal Points </w:t>
            </w:r>
          </w:p>
          <w:p w14:paraId="726FBF3B" w14:textId="0AC83C7F" w:rsidR="00D268DA" w:rsidRPr="00E17E61" w:rsidRDefault="009B677A" w:rsidP="00E65899">
            <w:pPr>
              <w:snapToGrid w:val="0"/>
              <w:spacing w:line="276" w:lineRule="auto"/>
              <w:rPr>
                <w:rFonts w:ascii="Book Antiqua" w:eastAsia="Malgun Gothic" w:hAnsi="Book Antiqua" w:cs="Tahoma"/>
                <w:iCs/>
                <w:color w:val="000000" w:themeColor="text1"/>
                <w:szCs w:val="20"/>
                <w:lang w:eastAsia="en-US"/>
              </w:rPr>
            </w:pPr>
            <w:r w:rsidRPr="003D6340">
              <w:rPr>
                <w:rFonts w:ascii="Book Antiqua" w:eastAsia="Malgun Gothic" w:hAnsi="Book Antiqua" w:cs="Tahoma"/>
                <w:iCs/>
                <w:color w:val="000000" w:themeColor="text1"/>
                <w:szCs w:val="20"/>
                <w:lang w:eastAsia="en-US"/>
              </w:rPr>
              <w:t>12 May</w:t>
            </w:r>
            <w:r w:rsidR="00D53B44" w:rsidRPr="003D6340">
              <w:rPr>
                <w:rFonts w:ascii="Book Antiqua" w:eastAsia="Malgun Gothic" w:hAnsi="Book Antiqua" w:cs="Tahoma"/>
                <w:iCs/>
                <w:color w:val="000000" w:themeColor="text1"/>
                <w:szCs w:val="20"/>
                <w:lang w:eastAsia="en-US"/>
              </w:rPr>
              <w:t xml:space="preserve"> 2021</w:t>
            </w:r>
            <w:r w:rsidR="002A5E62" w:rsidRPr="003D6340">
              <w:rPr>
                <w:rFonts w:ascii="Book Antiqua" w:eastAsia="Malgun Gothic" w:hAnsi="Book Antiqua" w:cs="Tahoma"/>
                <w:iCs/>
                <w:color w:val="000000" w:themeColor="text1"/>
                <w:szCs w:val="20"/>
                <w:lang w:eastAsia="en-US"/>
              </w:rPr>
              <w:t xml:space="preserve">, </w:t>
            </w:r>
            <w:r w:rsidRPr="003D6340">
              <w:rPr>
                <w:rFonts w:ascii="Book Antiqua" w:eastAsia="Malgun Gothic" w:hAnsi="Book Antiqua" w:cs="Tahoma"/>
                <w:iCs/>
                <w:color w:val="000000" w:themeColor="text1"/>
                <w:szCs w:val="20"/>
                <w:lang w:eastAsia="en-US"/>
              </w:rPr>
              <w:t>Virtual Meeting</w:t>
            </w:r>
          </w:p>
        </w:tc>
        <w:tc>
          <w:tcPr>
            <w:tcW w:w="820" w:type="dxa"/>
            <w:shd w:val="clear" w:color="auto" w:fill="auto"/>
          </w:tcPr>
          <w:p w14:paraId="44083983" w14:textId="77777777" w:rsidR="00D268DA" w:rsidRPr="00E17E61" w:rsidRDefault="00D268DA" w:rsidP="00D268DA">
            <w:pPr>
              <w:spacing w:line="276" w:lineRule="auto"/>
              <w:rPr>
                <w:rFonts w:ascii="Book Antiqua" w:eastAsia="Malgun Gothic" w:hAnsi="Book Antiqua" w:cs="Tahoma"/>
                <w:iCs/>
                <w:color w:val="000000" w:themeColor="text1"/>
                <w:szCs w:val="20"/>
                <w:lang w:eastAsia="en-US"/>
              </w:rPr>
            </w:pPr>
          </w:p>
        </w:tc>
        <w:tc>
          <w:tcPr>
            <w:tcW w:w="3246" w:type="dxa"/>
            <w:shd w:val="clear" w:color="auto" w:fill="auto"/>
          </w:tcPr>
          <w:p w14:paraId="0A9332D5" w14:textId="1D4F8DD1" w:rsidR="00D268DA" w:rsidRPr="00E17E61" w:rsidRDefault="00D268DA" w:rsidP="00D268DA">
            <w:pPr>
              <w:spacing w:line="276" w:lineRule="auto"/>
              <w:ind w:left="771"/>
              <w:rPr>
                <w:rFonts w:ascii="Book Antiqua" w:eastAsia="Batang" w:hAnsi="Book Antiqua" w:cs="Times New Roman"/>
                <w:b/>
                <w:bCs/>
                <w:color w:val="000000" w:themeColor="text1"/>
                <w:szCs w:val="24"/>
                <w:lang w:eastAsia="ko-KR"/>
              </w:rPr>
            </w:pPr>
            <w:r w:rsidRPr="00E17E61">
              <w:rPr>
                <w:rFonts w:ascii="Book Antiqua" w:eastAsia="Malgun Gothic" w:hAnsi="Book Antiqua" w:cs="Times New Roman"/>
                <w:color w:val="000000" w:themeColor="text1"/>
                <w:lang w:val="en-GB" w:eastAsia="en-US"/>
              </w:rPr>
              <w:t xml:space="preserve">   </w:t>
            </w:r>
            <w:r w:rsidR="00E65899" w:rsidRPr="00E17E61">
              <w:rPr>
                <w:rFonts w:ascii="Book Antiqua" w:eastAsia="Malgun Gothic" w:hAnsi="Book Antiqua" w:cs="Times New Roman"/>
                <w:b/>
                <w:bCs/>
                <w:color w:val="000000" w:themeColor="text1"/>
                <w:lang w:val="en-GB" w:eastAsia="en-US"/>
              </w:rPr>
              <w:t>NEASPEC</w:t>
            </w:r>
            <w:r w:rsidRPr="00E17E61">
              <w:rPr>
                <w:rFonts w:ascii="Book Antiqua" w:eastAsia="Malgun Gothic" w:hAnsi="Book Antiqua" w:cs="Times New Roman"/>
                <w:b/>
                <w:bCs/>
                <w:color w:val="000000" w:themeColor="text1"/>
                <w:lang w:val="en-GB" w:eastAsia="en-US"/>
              </w:rPr>
              <w:t>/</w:t>
            </w:r>
            <w:r w:rsidR="00E65899" w:rsidRPr="00E17E61">
              <w:rPr>
                <w:rFonts w:ascii="Book Antiqua" w:eastAsia="Malgun Gothic" w:hAnsi="Book Antiqua" w:cs="Times New Roman"/>
                <w:b/>
                <w:bCs/>
                <w:color w:val="000000" w:themeColor="text1"/>
                <w:lang w:val="en-GB" w:eastAsia="en-US"/>
              </w:rPr>
              <w:t>NFP</w:t>
            </w:r>
            <w:r w:rsidR="008D4FA5">
              <w:rPr>
                <w:rFonts w:ascii="Book Antiqua" w:eastAsia="Malgun Gothic" w:hAnsi="Book Antiqua" w:cs="Times New Roman"/>
                <w:b/>
                <w:bCs/>
                <w:color w:val="000000" w:themeColor="text1"/>
                <w:lang w:val="en-GB" w:eastAsia="en-US"/>
              </w:rPr>
              <w:t>/</w:t>
            </w:r>
            <w:r w:rsidR="00D53B44">
              <w:rPr>
                <w:rFonts w:ascii="Book Antiqua" w:eastAsia="Malgun Gothic" w:hAnsi="Book Antiqua" w:cs="Times New Roman"/>
                <w:b/>
                <w:bCs/>
                <w:color w:val="000000" w:themeColor="text1"/>
                <w:lang w:val="en-GB" w:eastAsia="en-US"/>
              </w:rPr>
              <w:t>2</w:t>
            </w:r>
          </w:p>
          <w:p w14:paraId="43B1B922" w14:textId="1F4C3F98" w:rsidR="00821262" w:rsidRDefault="00D268DA" w:rsidP="00D268DA">
            <w:pPr>
              <w:spacing w:line="276" w:lineRule="auto"/>
              <w:ind w:left="771"/>
              <w:rPr>
                <w:rFonts w:ascii="Book Antiqua" w:eastAsia="SimSun" w:hAnsi="Book Antiqua" w:cs="Times New Roman"/>
                <w:color w:val="000000" w:themeColor="text1"/>
                <w:lang w:eastAsia="en-US"/>
              </w:rPr>
            </w:pPr>
            <w:r w:rsidRPr="00E17E61">
              <w:rPr>
                <w:rFonts w:ascii="Book Antiqua" w:eastAsia="SimSun" w:hAnsi="Book Antiqua" w:cs="Times New Roman"/>
                <w:color w:val="000000" w:themeColor="text1"/>
                <w:lang w:eastAsia="en-US"/>
              </w:rPr>
              <w:t xml:space="preserve">   </w:t>
            </w:r>
            <w:r w:rsidR="00821262">
              <w:rPr>
                <w:rFonts w:ascii="Book Antiqua" w:eastAsia="SimSun" w:hAnsi="Book Antiqua" w:cs="Times New Roman"/>
                <w:color w:val="000000" w:themeColor="text1"/>
                <w:lang w:eastAsia="en-US"/>
              </w:rPr>
              <w:t xml:space="preserve">Distr.: Limited  </w:t>
            </w:r>
          </w:p>
          <w:p w14:paraId="4C11B97E" w14:textId="1A3218BF" w:rsidR="00D268DA" w:rsidRPr="00E17E61" w:rsidRDefault="00821262" w:rsidP="00D268DA">
            <w:pPr>
              <w:spacing w:line="276" w:lineRule="auto"/>
              <w:ind w:left="771"/>
              <w:rPr>
                <w:rFonts w:ascii="Book Antiqua" w:eastAsia="SimSun" w:hAnsi="Book Antiqua" w:cs="Times New Roman"/>
                <w:color w:val="000000" w:themeColor="text1"/>
                <w:lang w:eastAsia="en-US"/>
              </w:rPr>
            </w:pPr>
            <w:r>
              <w:rPr>
                <w:rFonts w:ascii="Book Antiqua" w:eastAsia="SimSun" w:hAnsi="Book Antiqua" w:cs="Times New Roman"/>
                <w:color w:val="000000" w:themeColor="text1"/>
                <w:lang w:eastAsia="en-US"/>
              </w:rPr>
              <w:t xml:space="preserve">   </w:t>
            </w:r>
            <w:r w:rsidR="00A46DFB" w:rsidRPr="003D6340">
              <w:rPr>
                <w:rFonts w:ascii="Book Antiqua" w:eastAsia="SimSun" w:hAnsi="Book Antiqua" w:cs="Times New Roman"/>
                <w:color w:val="000000" w:themeColor="text1"/>
                <w:lang w:eastAsia="en-US"/>
              </w:rPr>
              <w:t>1</w:t>
            </w:r>
            <w:r w:rsidR="009B677A" w:rsidRPr="003D6340">
              <w:rPr>
                <w:rFonts w:ascii="Book Antiqua" w:eastAsia="SimSun" w:hAnsi="Book Antiqua" w:cs="Times New Roman"/>
                <w:color w:val="000000" w:themeColor="text1"/>
                <w:lang w:eastAsia="en-US"/>
              </w:rPr>
              <w:t>0</w:t>
            </w:r>
            <w:r w:rsidR="00A46DFB" w:rsidRPr="003D6340">
              <w:rPr>
                <w:rFonts w:ascii="Book Antiqua" w:eastAsia="SimSun" w:hAnsi="Book Antiqua" w:cs="Times New Roman"/>
                <w:color w:val="000000" w:themeColor="text1"/>
                <w:lang w:eastAsia="en-US"/>
              </w:rPr>
              <w:t xml:space="preserve"> Ma</w:t>
            </w:r>
            <w:r w:rsidR="009B677A" w:rsidRPr="003D6340">
              <w:rPr>
                <w:rFonts w:ascii="Book Antiqua" w:eastAsia="SimSun" w:hAnsi="Book Antiqua" w:cs="Times New Roman"/>
                <w:color w:val="000000" w:themeColor="text1"/>
                <w:lang w:eastAsia="en-US"/>
              </w:rPr>
              <w:t>rch</w:t>
            </w:r>
            <w:r w:rsidR="00E65899" w:rsidRPr="003D6340">
              <w:rPr>
                <w:rFonts w:ascii="Book Antiqua" w:eastAsia="SimSun" w:hAnsi="Book Antiqua" w:cs="Times New Roman"/>
                <w:color w:val="000000" w:themeColor="text1"/>
                <w:lang w:eastAsia="en-US"/>
              </w:rPr>
              <w:t xml:space="preserve"> </w:t>
            </w:r>
            <w:r w:rsidR="00D268DA" w:rsidRPr="003D6340">
              <w:rPr>
                <w:rFonts w:ascii="Book Antiqua" w:eastAsia="SimSun" w:hAnsi="Book Antiqua" w:cs="Times New Roman"/>
                <w:color w:val="000000" w:themeColor="text1"/>
                <w:lang w:eastAsia="en-US"/>
              </w:rPr>
              <w:t>202</w:t>
            </w:r>
            <w:r w:rsidR="00D53B44" w:rsidRPr="003D6340">
              <w:rPr>
                <w:rFonts w:ascii="Book Antiqua" w:eastAsia="SimSun" w:hAnsi="Book Antiqua" w:cs="Times New Roman"/>
                <w:color w:val="000000" w:themeColor="text1"/>
                <w:lang w:eastAsia="en-US"/>
              </w:rPr>
              <w:t>1</w:t>
            </w:r>
          </w:p>
          <w:p w14:paraId="29B06B01" w14:textId="77777777" w:rsidR="00D268DA" w:rsidRDefault="00D268DA" w:rsidP="00E57DAB">
            <w:pPr>
              <w:spacing w:line="180" w:lineRule="exact"/>
              <w:rPr>
                <w:rFonts w:ascii="Book Antiqua" w:eastAsia="Malgun Gothic" w:hAnsi="Book Antiqua" w:cs="Tahoma"/>
                <w:iCs/>
                <w:color w:val="000000" w:themeColor="text1"/>
                <w:szCs w:val="20"/>
                <w:lang w:eastAsia="en-US"/>
              </w:rPr>
            </w:pPr>
          </w:p>
          <w:p w14:paraId="5F0605BE" w14:textId="41F98310" w:rsidR="009B677A" w:rsidRPr="00E17E61" w:rsidRDefault="009B677A" w:rsidP="00D268DA">
            <w:pPr>
              <w:spacing w:line="276" w:lineRule="auto"/>
              <w:rPr>
                <w:rFonts w:ascii="Book Antiqua" w:eastAsia="Malgun Gothic" w:hAnsi="Book Antiqua" w:cs="Tahoma"/>
                <w:iCs/>
                <w:color w:val="000000" w:themeColor="text1"/>
                <w:szCs w:val="20"/>
                <w:lang w:eastAsia="en-US"/>
              </w:rPr>
            </w:pPr>
            <w:r>
              <w:rPr>
                <w:rFonts w:ascii="Book Antiqua" w:eastAsia="Malgun Gothic" w:hAnsi="Book Antiqua" w:cs="Tahoma"/>
                <w:iCs/>
                <w:color w:val="000000" w:themeColor="text1"/>
                <w:szCs w:val="20"/>
                <w:lang w:eastAsia="en-US"/>
              </w:rPr>
              <w:t xml:space="preserve">                 English only </w:t>
            </w:r>
          </w:p>
        </w:tc>
      </w:tr>
    </w:tbl>
    <w:p w14:paraId="63D6064F" w14:textId="77777777" w:rsidR="00D268DA" w:rsidRPr="00E17E61" w:rsidRDefault="00D268DA" w:rsidP="00D268DA">
      <w:pPr>
        <w:spacing w:after="0" w:line="300" w:lineRule="exact"/>
        <w:rPr>
          <w:rFonts w:ascii="Book Antiqua" w:eastAsia="Malgun Gothic" w:hAnsi="Book Antiqua" w:cs="Tahoma"/>
          <w:iCs/>
          <w:color w:val="000000" w:themeColor="text1"/>
          <w:szCs w:val="20"/>
          <w:lang w:eastAsia="en-US"/>
        </w:rPr>
      </w:pPr>
    </w:p>
    <w:p w14:paraId="291BB65C" w14:textId="3FCFA05B" w:rsidR="00D15284" w:rsidRPr="00E17E61" w:rsidRDefault="00D15284" w:rsidP="00854DE2">
      <w:pPr>
        <w:spacing w:after="0" w:line="240" w:lineRule="auto"/>
        <w:jc w:val="center"/>
        <w:rPr>
          <w:rFonts w:ascii="Calibri" w:eastAsia="Times New Roman" w:hAnsi="Calibri" w:cs="Times New Roman"/>
          <w:b/>
          <w:bCs/>
          <w:color w:val="000000" w:themeColor="text1"/>
          <w:sz w:val="28"/>
          <w:lang w:eastAsia="en-US"/>
        </w:rPr>
      </w:pPr>
    </w:p>
    <w:p w14:paraId="1B47AC8F" w14:textId="77777777" w:rsidR="00D268DA" w:rsidRPr="00E17E61" w:rsidRDefault="00D268DA" w:rsidP="00854DE2">
      <w:pPr>
        <w:spacing w:after="0" w:line="240" w:lineRule="auto"/>
        <w:jc w:val="center"/>
        <w:rPr>
          <w:rFonts w:ascii="Calibri" w:eastAsia="Times New Roman" w:hAnsi="Calibri" w:cs="Times New Roman"/>
          <w:b/>
          <w:bCs/>
          <w:color w:val="000000" w:themeColor="text1"/>
          <w:sz w:val="28"/>
          <w:lang w:eastAsia="en-US"/>
        </w:rPr>
      </w:pPr>
    </w:p>
    <w:p w14:paraId="47978ADC" w14:textId="77777777" w:rsidR="007D18FC" w:rsidRDefault="007D18FC" w:rsidP="00D82C1D">
      <w:pPr>
        <w:spacing w:after="120" w:line="340" w:lineRule="atLeast"/>
        <w:jc w:val="center"/>
        <w:rPr>
          <w:rFonts w:ascii="Book Antiqua" w:eastAsia="Malgun Gothic" w:hAnsi="Book Antiqua" w:cs="Tahoma"/>
          <w:b/>
          <w:bCs/>
          <w:color w:val="000000" w:themeColor="text1"/>
          <w:lang w:eastAsia="ko-KR"/>
        </w:rPr>
      </w:pPr>
    </w:p>
    <w:p w14:paraId="1787EDEA" w14:textId="21AF6E33" w:rsidR="00D82C1D" w:rsidRPr="00E17E61" w:rsidRDefault="00B51221" w:rsidP="00D82C1D">
      <w:pPr>
        <w:spacing w:after="120" w:line="340" w:lineRule="atLeast"/>
        <w:jc w:val="center"/>
        <w:rPr>
          <w:rFonts w:ascii="Book Antiqua" w:eastAsia="Malgun Gothic" w:hAnsi="Book Antiqua" w:cs="Tahoma"/>
          <w:b/>
          <w:bCs/>
          <w:color w:val="000000" w:themeColor="text1"/>
          <w:lang w:eastAsia="en-US"/>
        </w:rPr>
      </w:pPr>
      <w:r>
        <w:rPr>
          <w:rFonts w:ascii="Book Antiqua" w:eastAsia="Malgun Gothic" w:hAnsi="Book Antiqua" w:cs="Tahoma"/>
          <w:b/>
          <w:bCs/>
          <w:color w:val="000000" w:themeColor="text1"/>
          <w:lang w:eastAsia="ko-KR"/>
        </w:rPr>
        <w:t xml:space="preserve">NEASPEC </w:t>
      </w:r>
      <w:r w:rsidR="003A12E9">
        <w:rPr>
          <w:rFonts w:ascii="Book Antiqua" w:eastAsia="Malgun Gothic" w:hAnsi="Book Antiqua" w:cs="Tahoma"/>
          <w:b/>
          <w:bCs/>
          <w:color w:val="000000" w:themeColor="text1"/>
          <w:lang w:eastAsia="ko-KR"/>
        </w:rPr>
        <w:t>FUNDING MODALITIES</w:t>
      </w:r>
      <w:r>
        <w:rPr>
          <w:rFonts w:ascii="Book Antiqua" w:eastAsia="Malgun Gothic" w:hAnsi="Book Antiqua" w:cs="Tahoma"/>
          <w:b/>
          <w:bCs/>
          <w:color w:val="000000" w:themeColor="text1"/>
          <w:lang w:eastAsia="ko-KR"/>
        </w:rPr>
        <w:t xml:space="preserve">: </w:t>
      </w:r>
      <w:r w:rsidR="00EE6B14">
        <w:rPr>
          <w:rFonts w:ascii="Book Antiqua" w:eastAsia="Malgun Gothic" w:hAnsi="Book Antiqua" w:cs="Tahoma"/>
          <w:b/>
          <w:bCs/>
          <w:color w:val="000000" w:themeColor="text1"/>
          <w:lang w:eastAsia="ko-KR"/>
        </w:rPr>
        <w:t xml:space="preserve">Make </w:t>
      </w:r>
      <w:r w:rsidR="00EE6B14" w:rsidRPr="00EE6B14">
        <w:rPr>
          <w:rFonts w:ascii="Book Antiqua" w:eastAsia="Malgun Gothic" w:hAnsi="Book Antiqua" w:cs="Tahoma"/>
          <w:b/>
          <w:bCs/>
          <w:color w:val="000000" w:themeColor="text1"/>
          <w:lang w:eastAsia="ko-KR"/>
        </w:rPr>
        <w:t>reliable, predictable and equitable</w:t>
      </w:r>
    </w:p>
    <w:p w14:paraId="7A116CDA" w14:textId="343AA967" w:rsidR="00D82C1D" w:rsidRDefault="00F717A0" w:rsidP="00F717A0">
      <w:pPr>
        <w:spacing w:after="120" w:line="300" w:lineRule="exact"/>
        <w:jc w:val="center"/>
        <w:rPr>
          <w:rFonts w:ascii="Book Antiqua" w:eastAsia="Malgun Gothic" w:hAnsi="Book Antiqua" w:cs="Tahoma"/>
          <w:i/>
          <w:color w:val="000000" w:themeColor="text1"/>
          <w:lang w:eastAsia="ko-KR"/>
        </w:rPr>
      </w:pPr>
      <w:r w:rsidRPr="00E17E61">
        <w:rPr>
          <w:rFonts w:ascii="Book Antiqua" w:eastAsia="Malgun Gothic" w:hAnsi="Book Antiqua" w:cs="Tahoma"/>
          <w:i/>
          <w:color w:val="000000" w:themeColor="text1"/>
          <w:lang w:eastAsia="ko-KR"/>
        </w:rPr>
        <w:t>Note by the Secretariat</w:t>
      </w:r>
    </w:p>
    <w:p w14:paraId="4981B17B" w14:textId="5E950350" w:rsidR="00841B0A" w:rsidRDefault="00841B0A" w:rsidP="00F717A0">
      <w:pPr>
        <w:spacing w:after="120" w:line="300" w:lineRule="exact"/>
        <w:jc w:val="center"/>
        <w:rPr>
          <w:rFonts w:ascii="Book Antiqua" w:eastAsia="Malgun Gothic" w:hAnsi="Book Antiqua" w:cs="Tahoma"/>
          <w:i/>
          <w:color w:val="000000" w:themeColor="text1"/>
          <w:lang w:eastAsia="ko-KR"/>
        </w:rPr>
      </w:pPr>
    </w:p>
    <w:p w14:paraId="15ACF7DF" w14:textId="77777777" w:rsidR="005B191B" w:rsidRPr="00E17E61" w:rsidRDefault="005B191B" w:rsidP="00F717A0">
      <w:pPr>
        <w:spacing w:after="120" w:line="300" w:lineRule="exact"/>
        <w:jc w:val="center"/>
        <w:rPr>
          <w:rFonts w:ascii="Book Antiqua" w:eastAsia="Malgun Gothic" w:hAnsi="Book Antiqua" w:cs="Tahoma"/>
          <w:i/>
          <w:color w:val="000000" w:themeColor="text1"/>
          <w:lang w:eastAsia="ko-KR"/>
        </w:rPr>
      </w:pPr>
    </w:p>
    <w:p w14:paraId="6CBCCB21" w14:textId="49D9188F" w:rsidR="00854DE2" w:rsidRDefault="00854DE2" w:rsidP="00E3445B">
      <w:pPr>
        <w:spacing w:after="0" w:line="240" w:lineRule="auto"/>
        <w:rPr>
          <w:rFonts w:ascii="Calibri" w:eastAsia="Times New Roman" w:hAnsi="Calibri" w:cs="Times New Roman"/>
          <w:color w:val="000000" w:themeColor="text1"/>
          <w:sz w:val="28"/>
          <w:lang w:eastAsia="en-US"/>
        </w:rPr>
      </w:pPr>
    </w:p>
    <w:p w14:paraId="288FF54D" w14:textId="77777777" w:rsidR="007D18FC" w:rsidRPr="00E17E61" w:rsidRDefault="007D18FC" w:rsidP="00E3445B">
      <w:pPr>
        <w:spacing w:after="0" w:line="240" w:lineRule="auto"/>
        <w:rPr>
          <w:rFonts w:ascii="Calibri" w:eastAsia="Times New Roman" w:hAnsi="Calibri" w:cs="Times New Roman"/>
          <w:color w:val="000000" w:themeColor="text1"/>
          <w:sz w:val="28"/>
          <w:lang w:eastAsia="en-US"/>
        </w:rPr>
      </w:pPr>
    </w:p>
    <w:sdt>
      <w:sdtPr>
        <w:rPr>
          <w:rFonts w:asciiTheme="minorHAnsi" w:eastAsiaTheme="minorEastAsia" w:hAnsiTheme="minorHAnsi" w:cstheme="minorBidi"/>
          <w:color w:val="000000" w:themeColor="text1"/>
          <w:sz w:val="22"/>
          <w:szCs w:val="22"/>
          <w:lang w:eastAsia="zh-CN"/>
        </w:rPr>
        <w:id w:val="-441607148"/>
        <w:docPartObj>
          <w:docPartGallery w:val="Table of Contents"/>
          <w:docPartUnique/>
        </w:docPartObj>
      </w:sdtPr>
      <w:sdtEndPr>
        <w:rPr>
          <w:noProof/>
        </w:rPr>
      </w:sdtEndPr>
      <w:sdtContent>
        <w:p w14:paraId="32780381" w14:textId="77777777" w:rsidR="009072EA" w:rsidRDefault="009072EA" w:rsidP="00AE6F76">
          <w:pPr>
            <w:pStyle w:val="TOCHeading"/>
            <w:jc w:val="center"/>
            <w:rPr>
              <w:rFonts w:asciiTheme="minorHAnsi" w:eastAsiaTheme="minorEastAsia" w:hAnsiTheme="minorHAnsi" w:cstheme="minorBidi"/>
              <w:color w:val="000000" w:themeColor="text1"/>
              <w:sz w:val="22"/>
              <w:szCs w:val="22"/>
              <w:lang w:eastAsia="zh-CN"/>
            </w:rPr>
          </w:pPr>
        </w:p>
        <w:p w14:paraId="4B1BD88F" w14:textId="5B8FB0A1" w:rsidR="00AE6F76" w:rsidRPr="00E17E61" w:rsidRDefault="00AE6F76" w:rsidP="00AE6F76">
          <w:pPr>
            <w:pStyle w:val="TOCHeading"/>
            <w:jc w:val="center"/>
            <w:rPr>
              <w:color w:val="000000" w:themeColor="text1"/>
            </w:rPr>
          </w:pPr>
          <w:r w:rsidRPr="00E17E61">
            <w:rPr>
              <w:rFonts w:ascii="Book Antiqua" w:eastAsia="Malgun Gothic" w:hAnsi="Book Antiqua" w:cs="Tahoma"/>
              <w:b/>
              <w:bCs/>
              <w:color w:val="000000" w:themeColor="text1"/>
              <w:sz w:val="22"/>
              <w:szCs w:val="22"/>
            </w:rPr>
            <w:t>CONTENTS</w:t>
          </w:r>
        </w:p>
        <w:p w14:paraId="23CEE001" w14:textId="751C37BC" w:rsidR="00AD1513" w:rsidRPr="00CB6831" w:rsidRDefault="00AE6F76" w:rsidP="00CB6831">
          <w:pPr>
            <w:pStyle w:val="TOC1"/>
            <w:rPr>
              <w:rFonts w:asciiTheme="minorHAnsi" w:eastAsiaTheme="minorEastAsia" w:hAnsiTheme="minorHAnsi" w:cstheme="minorBidi"/>
              <w:b w:val="0"/>
              <w:bCs w:val="0"/>
              <w:szCs w:val="22"/>
            </w:rPr>
          </w:pPr>
          <w:r w:rsidRPr="00CB6831">
            <w:rPr>
              <w:rFonts w:eastAsia="Malgun Gothic" w:cs="Angsana New"/>
              <w:b w:val="0"/>
              <w:bCs w:val="0"/>
              <w:noProof w:val="0"/>
              <w:color w:val="000000" w:themeColor="text1"/>
              <w:lang w:eastAsia="en-US"/>
            </w:rPr>
            <w:fldChar w:fldCharType="begin"/>
          </w:r>
          <w:r w:rsidRPr="00CB6831">
            <w:rPr>
              <w:b w:val="0"/>
              <w:bCs w:val="0"/>
              <w:color w:val="000000" w:themeColor="text1"/>
            </w:rPr>
            <w:instrText xml:space="preserve"> TOC \o "1-3" \h \z \u </w:instrText>
          </w:r>
          <w:r w:rsidRPr="00CB6831">
            <w:rPr>
              <w:rFonts w:eastAsia="Malgun Gothic" w:cs="Angsana New"/>
              <w:b w:val="0"/>
              <w:bCs w:val="0"/>
              <w:noProof w:val="0"/>
              <w:color w:val="000000" w:themeColor="text1"/>
              <w:lang w:eastAsia="en-US"/>
            </w:rPr>
            <w:fldChar w:fldCharType="separate"/>
          </w:r>
          <w:hyperlink w:anchor="_Toc64995273" w:history="1">
            <w:r w:rsidR="00AD1513" w:rsidRPr="00CB6831">
              <w:rPr>
                <w:rStyle w:val="Hyperlink"/>
                <w:b w:val="0"/>
                <w:bCs w:val="0"/>
                <w:caps/>
              </w:rPr>
              <w:t>I.</w:t>
            </w:r>
            <w:r w:rsidR="00AD1513" w:rsidRPr="00CB6831">
              <w:rPr>
                <w:rFonts w:asciiTheme="minorHAnsi" w:eastAsiaTheme="minorEastAsia" w:hAnsiTheme="minorHAnsi" w:cstheme="minorBidi"/>
                <w:b w:val="0"/>
                <w:bCs w:val="0"/>
                <w:szCs w:val="22"/>
              </w:rPr>
              <w:tab/>
            </w:r>
            <w:r w:rsidR="00AD1513" w:rsidRPr="00CB6831">
              <w:rPr>
                <w:rStyle w:val="Hyperlink"/>
                <w:b w:val="0"/>
                <w:bCs w:val="0"/>
                <w:caps/>
              </w:rPr>
              <w:t>Background</w:t>
            </w:r>
            <w:r w:rsidR="00AD1513" w:rsidRPr="00CB6831">
              <w:rPr>
                <w:b w:val="0"/>
                <w:bCs w:val="0"/>
                <w:webHidden/>
              </w:rPr>
              <w:tab/>
            </w:r>
            <w:r w:rsidR="00AD1513" w:rsidRPr="00CB6831">
              <w:rPr>
                <w:b w:val="0"/>
                <w:bCs w:val="0"/>
                <w:webHidden/>
              </w:rPr>
              <w:fldChar w:fldCharType="begin"/>
            </w:r>
            <w:r w:rsidR="00AD1513" w:rsidRPr="00CB6831">
              <w:rPr>
                <w:b w:val="0"/>
                <w:bCs w:val="0"/>
                <w:webHidden/>
              </w:rPr>
              <w:instrText xml:space="preserve"> PAGEREF _Toc64995273 \h </w:instrText>
            </w:r>
            <w:r w:rsidR="00AD1513" w:rsidRPr="00CB6831">
              <w:rPr>
                <w:b w:val="0"/>
                <w:bCs w:val="0"/>
                <w:webHidden/>
              </w:rPr>
            </w:r>
            <w:r w:rsidR="00AD1513" w:rsidRPr="00CB6831">
              <w:rPr>
                <w:b w:val="0"/>
                <w:bCs w:val="0"/>
                <w:webHidden/>
              </w:rPr>
              <w:fldChar w:fldCharType="separate"/>
            </w:r>
            <w:r w:rsidR="00CB6831" w:rsidRPr="00CB6831">
              <w:rPr>
                <w:b w:val="0"/>
                <w:bCs w:val="0"/>
                <w:webHidden/>
              </w:rPr>
              <w:t>2</w:t>
            </w:r>
            <w:r w:rsidR="00AD1513" w:rsidRPr="00CB6831">
              <w:rPr>
                <w:b w:val="0"/>
                <w:bCs w:val="0"/>
                <w:webHidden/>
              </w:rPr>
              <w:fldChar w:fldCharType="end"/>
            </w:r>
          </w:hyperlink>
        </w:p>
        <w:p w14:paraId="52745231" w14:textId="63FDC6A9" w:rsidR="00AD1513" w:rsidRPr="00CB6831" w:rsidRDefault="00B3317B" w:rsidP="00CB6831">
          <w:pPr>
            <w:pStyle w:val="TOC1"/>
            <w:rPr>
              <w:rFonts w:asciiTheme="minorHAnsi" w:eastAsiaTheme="minorEastAsia" w:hAnsiTheme="minorHAnsi" w:cstheme="minorBidi"/>
              <w:b w:val="0"/>
              <w:bCs w:val="0"/>
              <w:szCs w:val="22"/>
            </w:rPr>
          </w:pPr>
          <w:hyperlink w:anchor="_Toc64995274" w:history="1">
            <w:r w:rsidR="00AD1513" w:rsidRPr="00CB6831">
              <w:rPr>
                <w:rStyle w:val="Hyperlink"/>
                <w:b w:val="0"/>
                <w:bCs w:val="0"/>
                <w:caps/>
              </w:rPr>
              <w:t>II.</w:t>
            </w:r>
            <w:r w:rsidR="00AD1513" w:rsidRPr="00CB6831">
              <w:rPr>
                <w:rFonts w:asciiTheme="minorHAnsi" w:eastAsiaTheme="minorEastAsia" w:hAnsiTheme="minorHAnsi" w:cstheme="minorBidi"/>
                <w:b w:val="0"/>
                <w:bCs w:val="0"/>
                <w:szCs w:val="22"/>
              </w:rPr>
              <w:tab/>
            </w:r>
            <w:r w:rsidR="00AD1513" w:rsidRPr="00CB6831">
              <w:rPr>
                <w:rStyle w:val="Hyperlink"/>
                <w:b w:val="0"/>
                <w:bCs w:val="0"/>
                <w:caps/>
              </w:rPr>
              <w:t>Review of moDALITIES OF FINANCIAL MECHANISMS OF subREGIONAL Environmental cooperation MECHANISMS</w:t>
            </w:r>
            <w:r w:rsidR="00AD1513" w:rsidRPr="00CB6831">
              <w:rPr>
                <w:b w:val="0"/>
                <w:bCs w:val="0"/>
                <w:webHidden/>
              </w:rPr>
              <w:tab/>
            </w:r>
            <w:r w:rsidR="00AD1513" w:rsidRPr="00CB6831">
              <w:rPr>
                <w:b w:val="0"/>
                <w:bCs w:val="0"/>
                <w:webHidden/>
              </w:rPr>
              <w:fldChar w:fldCharType="begin"/>
            </w:r>
            <w:r w:rsidR="00AD1513" w:rsidRPr="00CB6831">
              <w:rPr>
                <w:b w:val="0"/>
                <w:bCs w:val="0"/>
                <w:webHidden/>
              </w:rPr>
              <w:instrText xml:space="preserve"> PAGEREF _Toc64995274 \h </w:instrText>
            </w:r>
            <w:r w:rsidR="00AD1513" w:rsidRPr="00CB6831">
              <w:rPr>
                <w:b w:val="0"/>
                <w:bCs w:val="0"/>
                <w:webHidden/>
              </w:rPr>
            </w:r>
            <w:r w:rsidR="00AD1513" w:rsidRPr="00CB6831">
              <w:rPr>
                <w:b w:val="0"/>
                <w:bCs w:val="0"/>
                <w:webHidden/>
              </w:rPr>
              <w:fldChar w:fldCharType="separate"/>
            </w:r>
            <w:r w:rsidR="00CB6831" w:rsidRPr="00CB6831">
              <w:rPr>
                <w:b w:val="0"/>
                <w:bCs w:val="0"/>
                <w:webHidden/>
              </w:rPr>
              <w:t>2</w:t>
            </w:r>
            <w:r w:rsidR="00AD1513" w:rsidRPr="00CB6831">
              <w:rPr>
                <w:b w:val="0"/>
                <w:bCs w:val="0"/>
                <w:webHidden/>
              </w:rPr>
              <w:fldChar w:fldCharType="end"/>
            </w:r>
          </w:hyperlink>
        </w:p>
        <w:p w14:paraId="5381F4BF" w14:textId="3F7D0001" w:rsidR="00AD1513" w:rsidRPr="00CB6831" w:rsidRDefault="00B3317B" w:rsidP="00CB6831">
          <w:pPr>
            <w:pStyle w:val="TOC1"/>
            <w:rPr>
              <w:rFonts w:asciiTheme="minorHAnsi" w:eastAsiaTheme="minorEastAsia" w:hAnsiTheme="minorHAnsi" w:cstheme="minorBidi"/>
              <w:b w:val="0"/>
              <w:bCs w:val="0"/>
              <w:szCs w:val="22"/>
            </w:rPr>
          </w:pPr>
          <w:hyperlink w:anchor="_Toc64995275" w:history="1">
            <w:r w:rsidR="00AD1513" w:rsidRPr="00CB6831">
              <w:rPr>
                <w:rStyle w:val="Hyperlink"/>
                <w:b w:val="0"/>
                <w:bCs w:val="0"/>
                <w:caps/>
              </w:rPr>
              <w:t>III.</w:t>
            </w:r>
            <w:r w:rsidR="00AD1513" w:rsidRPr="00CB6831">
              <w:rPr>
                <w:rFonts w:asciiTheme="minorHAnsi" w:eastAsiaTheme="minorEastAsia" w:hAnsiTheme="minorHAnsi" w:cstheme="minorBidi"/>
                <w:b w:val="0"/>
                <w:bCs w:val="0"/>
                <w:szCs w:val="22"/>
              </w:rPr>
              <w:tab/>
            </w:r>
            <w:r w:rsidR="00AD1513" w:rsidRPr="00CB6831">
              <w:rPr>
                <w:rStyle w:val="Hyperlink"/>
                <w:b w:val="0"/>
                <w:bCs w:val="0"/>
                <w:caps/>
              </w:rPr>
              <w:t>NEASPEC fUNDING MODALITIES</w:t>
            </w:r>
            <w:r w:rsidR="00AD1513" w:rsidRPr="00CB6831">
              <w:rPr>
                <w:b w:val="0"/>
                <w:bCs w:val="0"/>
                <w:webHidden/>
              </w:rPr>
              <w:tab/>
            </w:r>
            <w:r w:rsidR="00AD1513" w:rsidRPr="00CB6831">
              <w:rPr>
                <w:b w:val="0"/>
                <w:bCs w:val="0"/>
                <w:webHidden/>
              </w:rPr>
              <w:fldChar w:fldCharType="begin"/>
            </w:r>
            <w:r w:rsidR="00AD1513" w:rsidRPr="00CB6831">
              <w:rPr>
                <w:b w:val="0"/>
                <w:bCs w:val="0"/>
                <w:webHidden/>
              </w:rPr>
              <w:instrText xml:space="preserve"> PAGEREF _Toc64995275 \h </w:instrText>
            </w:r>
            <w:r w:rsidR="00AD1513" w:rsidRPr="00CB6831">
              <w:rPr>
                <w:b w:val="0"/>
                <w:bCs w:val="0"/>
                <w:webHidden/>
              </w:rPr>
            </w:r>
            <w:r w:rsidR="00AD1513" w:rsidRPr="00CB6831">
              <w:rPr>
                <w:b w:val="0"/>
                <w:bCs w:val="0"/>
                <w:webHidden/>
              </w:rPr>
              <w:fldChar w:fldCharType="separate"/>
            </w:r>
            <w:r w:rsidR="00CB6831" w:rsidRPr="00CB6831">
              <w:rPr>
                <w:b w:val="0"/>
                <w:bCs w:val="0"/>
                <w:webHidden/>
              </w:rPr>
              <w:t>6</w:t>
            </w:r>
            <w:r w:rsidR="00AD1513" w:rsidRPr="00CB6831">
              <w:rPr>
                <w:b w:val="0"/>
                <w:bCs w:val="0"/>
                <w:webHidden/>
              </w:rPr>
              <w:fldChar w:fldCharType="end"/>
            </w:r>
          </w:hyperlink>
        </w:p>
        <w:p w14:paraId="3B972026" w14:textId="7F8AF5B4" w:rsidR="00AD1513" w:rsidRPr="00CB6831" w:rsidRDefault="00B3317B" w:rsidP="00CB6831">
          <w:pPr>
            <w:pStyle w:val="TOC1"/>
            <w:rPr>
              <w:rFonts w:asciiTheme="minorHAnsi" w:eastAsiaTheme="minorEastAsia" w:hAnsiTheme="minorHAnsi" w:cstheme="minorBidi"/>
              <w:b w:val="0"/>
              <w:bCs w:val="0"/>
              <w:szCs w:val="22"/>
            </w:rPr>
          </w:pPr>
          <w:hyperlink w:anchor="_Toc64995276" w:history="1">
            <w:r w:rsidR="00AD1513" w:rsidRPr="00CB6831">
              <w:rPr>
                <w:rStyle w:val="Hyperlink"/>
                <w:b w:val="0"/>
                <w:bCs w:val="0"/>
                <w:caps/>
              </w:rPr>
              <w:t>IV.</w:t>
            </w:r>
            <w:r w:rsidR="00AD1513" w:rsidRPr="00CB6831">
              <w:rPr>
                <w:rFonts w:asciiTheme="minorHAnsi" w:eastAsiaTheme="minorEastAsia" w:hAnsiTheme="minorHAnsi" w:cstheme="minorBidi"/>
                <w:b w:val="0"/>
                <w:bCs w:val="0"/>
                <w:szCs w:val="22"/>
              </w:rPr>
              <w:tab/>
            </w:r>
            <w:r w:rsidR="00AD1513" w:rsidRPr="00CB6831">
              <w:rPr>
                <w:rStyle w:val="Hyperlink"/>
                <w:b w:val="0"/>
                <w:bCs w:val="0"/>
                <w:caps/>
              </w:rPr>
              <w:t>ISSUES</w:t>
            </w:r>
            <w:r w:rsidR="00AD1513" w:rsidRPr="00CB6831">
              <w:rPr>
                <w:rStyle w:val="Hyperlink"/>
                <w:b w:val="0"/>
                <w:bCs w:val="0"/>
              </w:rPr>
              <w:t xml:space="preserve"> </w:t>
            </w:r>
            <w:r w:rsidR="00AD1513" w:rsidRPr="00CB6831">
              <w:rPr>
                <w:rStyle w:val="Hyperlink"/>
                <w:b w:val="0"/>
                <w:bCs w:val="0"/>
                <w:caps/>
              </w:rPr>
              <w:t>for Consideration</w:t>
            </w:r>
            <w:r w:rsidR="00AD1513" w:rsidRPr="00CB6831">
              <w:rPr>
                <w:b w:val="0"/>
                <w:bCs w:val="0"/>
                <w:webHidden/>
              </w:rPr>
              <w:tab/>
            </w:r>
            <w:r w:rsidR="00AD1513" w:rsidRPr="00CB6831">
              <w:rPr>
                <w:b w:val="0"/>
                <w:bCs w:val="0"/>
                <w:webHidden/>
              </w:rPr>
              <w:fldChar w:fldCharType="begin"/>
            </w:r>
            <w:r w:rsidR="00AD1513" w:rsidRPr="00CB6831">
              <w:rPr>
                <w:b w:val="0"/>
                <w:bCs w:val="0"/>
                <w:webHidden/>
              </w:rPr>
              <w:instrText xml:space="preserve"> PAGEREF _Toc64995276 \h </w:instrText>
            </w:r>
            <w:r w:rsidR="00AD1513" w:rsidRPr="00CB6831">
              <w:rPr>
                <w:b w:val="0"/>
                <w:bCs w:val="0"/>
                <w:webHidden/>
              </w:rPr>
            </w:r>
            <w:r w:rsidR="00AD1513" w:rsidRPr="00CB6831">
              <w:rPr>
                <w:b w:val="0"/>
                <w:bCs w:val="0"/>
                <w:webHidden/>
              </w:rPr>
              <w:fldChar w:fldCharType="separate"/>
            </w:r>
            <w:r w:rsidR="00CB6831" w:rsidRPr="00CB6831">
              <w:rPr>
                <w:b w:val="0"/>
                <w:bCs w:val="0"/>
                <w:webHidden/>
              </w:rPr>
              <w:t>9</w:t>
            </w:r>
            <w:r w:rsidR="00AD1513" w:rsidRPr="00CB6831">
              <w:rPr>
                <w:b w:val="0"/>
                <w:bCs w:val="0"/>
                <w:webHidden/>
              </w:rPr>
              <w:fldChar w:fldCharType="end"/>
            </w:r>
          </w:hyperlink>
        </w:p>
        <w:p w14:paraId="064FBC0C" w14:textId="2FB926B3" w:rsidR="00AE6F76" w:rsidRPr="00AD1513" w:rsidRDefault="00AE6F76">
          <w:pPr>
            <w:rPr>
              <w:color w:val="000000" w:themeColor="text1"/>
            </w:rPr>
          </w:pPr>
          <w:r w:rsidRPr="00CB6831">
            <w:rPr>
              <w:noProof/>
              <w:color w:val="000000" w:themeColor="text1"/>
            </w:rPr>
            <w:fldChar w:fldCharType="end"/>
          </w:r>
        </w:p>
      </w:sdtContent>
    </w:sdt>
    <w:p w14:paraId="6D5DA7E6" w14:textId="6399BB93" w:rsidR="0035564E" w:rsidRPr="00E17E61" w:rsidRDefault="0035564E" w:rsidP="0035564E">
      <w:pPr>
        <w:pStyle w:val="BodyText"/>
        <w:tabs>
          <w:tab w:val="left" w:pos="400"/>
          <w:tab w:val="right" w:leader="dot" w:pos="8800"/>
        </w:tabs>
        <w:snapToGrid w:val="0"/>
        <w:spacing w:before="120" w:after="0" w:line="240" w:lineRule="atLeast"/>
        <w:ind w:hanging="499"/>
        <w:jc w:val="both"/>
        <w:rPr>
          <w:rFonts w:ascii="Book Antiqua" w:hAnsi="Book Antiqua"/>
          <w:b w:val="0"/>
          <w:bCs w:val="0"/>
          <w:color w:val="000000" w:themeColor="text1"/>
          <w:sz w:val="22"/>
          <w:lang w:eastAsia="ko-KR"/>
        </w:rPr>
      </w:pPr>
    </w:p>
    <w:p w14:paraId="25FAE9DC" w14:textId="45743681" w:rsidR="00470D9D" w:rsidRPr="00B66FB5" w:rsidRDefault="00470D9D" w:rsidP="00470D9D">
      <w:pPr>
        <w:pStyle w:val="BodyText"/>
        <w:tabs>
          <w:tab w:val="left" w:pos="400"/>
          <w:tab w:val="right" w:leader="dot" w:pos="8800"/>
        </w:tabs>
        <w:snapToGrid w:val="0"/>
        <w:spacing w:before="120" w:after="0" w:line="240" w:lineRule="atLeast"/>
        <w:ind w:left="859" w:hanging="499"/>
        <w:jc w:val="both"/>
        <w:rPr>
          <w:rFonts w:ascii="Book Antiqua" w:hAnsi="Book Antiqua"/>
          <w:b w:val="0"/>
          <w:bCs w:val="0"/>
          <w:strike/>
          <w:color w:val="000000" w:themeColor="text1"/>
          <w:sz w:val="22"/>
        </w:rPr>
      </w:pPr>
    </w:p>
    <w:p w14:paraId="1BBDE6B9" w14:textId="0427603F" w:rsidR="001D1723" w:rsidRPr="00D2216F" w:rsidRDefault="00D2216F" w:rsidP="003D6340">
      <w:pPr>
        <w:spacing w:line="240" w:lineRule="auto"/>
        <w:rPr>
          <w:rFonts w:ascii="Book Antiqua" w:eastAsia="Malgun Gothic" w:hAnsi="Book Antiqua" w:cs="Tahoma"/>
          <w:color w:val="000000" w:themeColor="text1"/>
          <w:lang w:eastAsia="ko-KR"/>
        </w:rPr>
      </w:pPr>
      <w:r w:rsidRPr="007917FE">
        <w:rPr>
          <w:rFonts w:ascii="Book Antiqua" w:hAnsi="Book Antiqua"/>
          <w:color w:val="000000" w:themeColor="text1"/>
          <w:lang w:eastAsia="ko-KR"/>
        </w:rPr>
        <w:t>Annex 1. Draft agreement on a voluntary trust fund for NEASPEC (considered at SOM-12, 2007)</w:t>
      </w:r>
      <w:r w:rsidR="001D1723" w:rsidRPr="00D2216F">
        <w:rPr>
          <w:rFonts w:ascii="Book Antiqua" w:hAnsi="Book Antiqua"/>
          <w:color w:val="000000" w:themeColor="text1"/>
          <w:lang w:eastAsia="ko-KR"/>
        </w:rPr>
        <w:br w:type="page"/>
      </w:r>
    </w:p>
    <w:p w14:paraId="7245813F" w14:textId="6C3D9BE1" w:rsidR="00F75C19" w:rsidRPr="00BC5A97" w:rsidRDefault="00F81DBB" w:rsidP="00143DC7">
      <w:pPr>
        <w:pStyle w:val="Header"/>
        <w:numPr>
          <w:ilvl w:val="0"/>
          <w:numId w:val="1"/>
        </w:numPr>
        <w:tabs>
          <w:tab w:val="clear" w:pos="4320"/>
          <w:tab w:val="clear" w:pos="8640"/>
        </w:tabs>
        <w:spacing w:before="240" w:after="240"/>
        <w:jc w:val="center"/>
        <w:outlineLvl w:val="0"/>
        <w:rPr>
          <w:rFonts w:ascii="Book Antiqua" w:eastAsia="SimSun" w:hAnsi="Book Antiqua" w:cs="Times New Roman"/>
          <w:b/>
          <w:iCs/>
          <w:caps/>
          <w:color w:val="000000" w:themeColor="text1"/>
          <w:sz w:val="22"/>
          <w:szCs w:val="22"/>
          <w:lang w:eastAsia="ko-KR"/>
        </w:rPr>
      </w:pPr>
      <w:bookmarkStart w:id="0" w:name="_Toc395634253"/>
      <w:bookmarkStart w:id="1" w:name="_Toc395634391"/>
      <w:bookmarkStart w:id="2" w:name="_Toc64995273"/>
      <w:r w:rsidRPr="00BC5A97">
        <w:rPr>
          <w:rFonts w:ascii="Book Antiqua" w:eastAsia="SimSun" w:hAnsi="Book Antiqua" w:cs="Times New Roman"/>
          <w:b/>
          <w:iCs/>
          <w:caps/>
          <w:color w:val="000000" w:themeColor="text1"/>
          <w:sz w:val="22"/>
          <w:szCs w:val="22"/>
          <w:lang w:eastAsia="ko-KR"/>
        </w:rPr>
        <w:lastRenderedPageBreak/>
        <w:t>B</w:t>
      </w:r>
      <w:r w:rsidR="00BC5A97" w:rsidRPr="00BC5A97">
        <w:rPr>
          <w:rFonts w:ascii="Book Antiqua" w:eastAsia="SimSun" w:hAnsi="Book Antiqua" w:cs="Times New Roman"/>
          <w:b/>
          <w:iCs/>
          <w:caps/>
          <w:color w:val="000000" w:themeColor="text1"/>
          <w:sz w:val="22"/>
          <w:szCs w:val="22"/>
          <w:lang w:eastAsia="ko-KR"/>
        </w:rPr>
        <w:t>ackground</w:t>
      </w:r>
      <w:bookmarkEnd w:id="0"/>
      <w:bookmarkEnd w:id="1"/>
      <w:bookmarkEnd w:id="2"/>
      <w:r w:rsidRPr="00BC5A97">
        <w:rPr>
          <w:rFonts w:ascii="Book Antiqua" w:eastAsia="SimSun" w:hAnsi="Book Antiqua" w:cs="Times New Roman"/>
          <w:b/>
          <w:iCs/>
          <w:caps/>
          <w:color w:val="000000" w:themeColor="text1"/>
          <w:sz w:val="22"/>
          <w:szCs w:val="22"/>
          <w:lang w:eastAsia="ko-KR"/>
        </w:rPr>
        <w:t xml:space="preserve"> </w:t>
      </w:r>
    </w:p>
    <w:p w14:paraId="79B9B9B4" w14:textId="6F907D1E" w:rsidR="00330E3F" w:rsidRPr="00F16DEF" w:rsidRDefault="000146A5" w:rsidP="00BB0233">
      <w:pPr>
        <w:pStyle w:val="ListParagraph"/>
        <w:numPr>
          <w:ilvl w:val="0"/>
          <w:numId w:val="2"/>
        </w:numPr>
        <w:snapToGrid w:val="0"/>
        <w:spacing w:after="120" w:line="276" w:lineRule="auto"/>
        <w:ind w:left="0" w:firstLine="0"/>
        <w:contextualSpacing w:val="0"/>
        <w:jc w:val="both"/>
      </w:pPr>
      <w:r>
        <w:rPr>
          <w:rFonts w:ascii="Book Antiqua" w:hAnsi="Book Antiqua"/>
          <w:color w:val="000000" w:themeColor="text1"/>
        </w:rPr>
        <w:t>The 24</w:t>
      </w:r>
      <w:r w:rsidRPr="00F16DEF">
        <w:rPr>
          <w:rFonts w:ascii="Book Antiqua" w:hAnsi="Book Antiqua"/>
          <w:color w:val="000000" w:themeColor="text1"/>
          <w:vertAlign w:val="superscript"/>
        </w:rPr>
        <w:t>th</w:t>
      </w:r>
      <w:r>
        <w:rPr>
          <w:rFonts w:ascii="Book Antiqua" w:hAnsi="Book Antiqua"/>
          <w:color w:val="000000" w:themeColor="text1"/>
        </w:rPr>
        <w:t xml:space="preserve"> Senior Officials Meeting (</w:t>
      </w:r>
      <w:r w:rsidR="00D53B44" w:rsidRPr="0040185E">
        <w:rPr>
          <w:rFonts w:ascii="Book Antiqua" w:hAnsi="Book Antiqua"/>
          <w:color w:val="000000" w:themeColor="text1"/>
        </w:rPr>
        <w:t>SOM-24</w:t>
      </w:r>
      <w:r w:rsidR="00330E3F">
        <w:rPr>
          <w:rFonts w:ascii="Book Antiqua" w:hAnsi="Book Antiqua"/>
          <w:color w:val="000000" w:themeColor="text1"/>
        </w:rPr>
        <w:t>)</w:t>
      </w:r>
      <w:r w:rsidR="00D53B44" w:rsidRPr="0040185E">
        <w:rPr>
          <w:rFonts w:ascii="Book Antiqua" w:hAnsi="Book Antiqua"/>
          <w:color w:val="000000" w:themeColor="text1"/>
        </w:rPr>
        <w:t xml:space="preserve"> reviewed the </w:t>
      </w:r>
      <w:r w:rsidR="00C26029">
        <w:rPr>
          <w:rFonts w:ascii="Book Antiqua" w:hAnsi="Book Antiqua"/>
          <w:color w:val="000000" w:themeColor="text1"/>
        </w:rPr>
        <w:t xml:space="preserve">outcome </w:t>
      </w:r>
      <w:r w:rsidR="00D53B44" w:rsidRPr="0040185E">
        <w:rPr>
          <w:rFonts w:ascii="Book Antiqua" w:hAnsi="Book Antiqua"/>
          <w:color w:val="000000" w:themeColor="text1"/>
        </w:rPr>
        <w:t xml:space="preserve">and secretariat response of the </w:t>
      </w:r>
      <w:r w:rsidR="00C26029">
        <w:rPr>
          <w:rFonts w:ascii="Book Antiqua" w:hAnsi="Book Antiqua"/>
          <w:color w:val="000000" w:themeColor="text1"/>
        </w:rPr>
        <w:t xml:space="preserve">NEASPEC </w:t>
      </w:r>
      <w:r w:rsidR="00D53B44" w:rsidRPr="0040185E">
        <w:rPr>
          <w:rFonts w:ascii="Book Antiqua" w:hAnsi="Book Antiqua"/>
          <w:color w:val="000000" w:themeColor="text1"/>
        </w:rPr>
        <w:t>independent evaluation</w:t>
      </w:r>
      <w:r w:rsidR="00C26029">
        <w:rPr>
          <w:rFonts w:ascii="Book Antiqua" w:hAnsi="Book Antiqua"/>
          <w:color w:val="000000" w:themeColor="text1"/>
        </w:rPr>
        <w:t>,</w:t>
      </w:r>
      <w:r w:rsidR="001824F7">
        <w:rPr>
          <w:rStyle w:val="FootnoteReference"/>
          <w:rFonts w:ascii="Book Antiqua" w:hAnsi="Book Antiqua"/>
          <w:color w:val="000000" w:themeColor="text1"/>
        </w:rPr>
        <w:footnoteReference w:id="2"/>
      </w:r>
      <w:r w:rsidR="00D53B44" w:rsidRPr="0040185E">
        <w:rPr>
          <w:rFonts w:ascii="Book Antiqua" w:hAnsi="Book Antiqua"/>
          <w:color w:val="000000" w:themeColor="text1"/>
        </w:rPr>
        <w:t xml:space="preserve"> </w:t>
      </w:r>
      <w:r w:rsidR="00C26029">
        <w:rPr>
          <w:rFonts w:ascii="Book Antiqua" w:hAnsi="Book Antiqua"/>
          <w:color w:val="000000" w:themeColor="text1"/>
        </w:rPr>
        <w:t>which presented seven recommendations to improve the</w:t>
      </w:r>
      <w:r w:rsidR="00C26029" w:rsidRPr="00C26029">
        <w:rPr>
          <w:rFonts w:ascii="Book Antiqua" w:hAnsi="Book Antiqua"/>
          <w:color w:val="000000" w:themeColor="text1"/>
        </w:rPr>
        <w:t xml:space="preserve"> relevance, effectiveness, efficiency</w:t>
      </w:r>
      <w:r w:rsidR="007D18FC">
        <w:rPr>
          <w:rFonts w:ascii="Book Antiqua" w:hAnsi="Book Antiqua"/>
          <w:color w:val="000000" w:themeColor="text1"/>
        </w:rPr>
        <w:t>,</w:t>
      </w:r>
      <w:r w:rsidR="00C26029">
        <w:rPr>
          <w:rFonts w:ascii="Book Antiqua" w:hAnsi="Book Antiqua"/>
          <w:color w:val="000000" w:themeColor="text1"/>
        </w:rPr>
        <w:t xml:space="preserve"> and</w:t>
      </w:r>
      <w:r w:rsidR="00C26029" w:rsidRPr="00C26029">
        <w:rPr>
          <w:rFonts w:ascii="Book Antiqua" w:hAnsi="Book Antiqua"/>
          <w:color w:val="000000" w:themeColor="text1"/>
        </w:rPr>
        <w:t xml:space="preserve"> sustainability</w:t>
      </w:r>
      <w:r w:rsidR="00C26029">
        <w:rPr>
          <w:rFonts w:ascii="Book Antiqua" w:hAnsi="Book Antiqua"/>
          <w:color w:val="000000" w:themeColor="text1"/>
        </w:rPr>
        <w:t xml:space="preserve">. Amongst the recommendations, the evaluation </w:t>
      </w:r>
      <w:r w:rsidR="00893BAF">
        <w:rPr>
          <w:rFonts w:ascii="Book Antiqua" w:hAnsi="Book Antiqua"/>
          <w:color w:val="000000" w:themeColor="text1"/>
        </w:rPr>
        <w:t xml:space="preserve">suggests revising the current funding modality </w:t>
      </w:r>
      <w:r w:rsidR="00993C9A">
        <w:rPr>
          <w:rFonts w:ascii="Book Antiqua" w:hAnsi="Book Antiqua"/>
          <w:color w:val="000000" w:themeColor="text1"/>
        </w:rPr>
        <w:t xml:space="preserve">for </w:t>
      </w:r>
      <w:r w:rsidR="00893BAF">
        <w:rPr>
          <w:rFonts w:ascii="Book Antiqua" w:hAnsi="Book Antiqua"/>
          <w:color w:val="000000" w:themeColor="text1"/>
        </w:rPr>
        <w:t xml:space="preserve">more reliable </w:t>
      </w:r>
      <w:r w:rsidR="00790FE0">
        <w:rPr>
          <w:rFonts w:ascii="Book Antiqua" w:hAnsi="Book Antiqua"/>
          <w:color w:val="000000" w:themeColor="text1"/>
        </w:rPr>
        <w:t xml:space="preserve">and </w:t>
      </w:r>
      <w:r w:rsidR="00893BAF">
        <w:rPr>
          <w:rFonts w:ascii="Book Antiqua" w:hAnsi="Book Antiqua"/>
          <w:color w:val="000000" w:themeColor="text1"/>
        </w:rPr>
        <w:t>predictable</w:t>
      </w:r>
      <w:r w:rsidR="00790FE0">
        <w:rPr>
          <w:rFonts w:ascii="Book Antiqua" w:hAnsi="Book Antiqua"/>
          <w:color w:val="000000" w:themeColor="text1"/>
        </w:rPr>
        <w:t xml:space="preserve"> financial resources</w:t>
      </w:r>
      <w:r w:rsidR="007D18FC">
        <w:rPr>
          <w:rFonts w:ascii="Book Antiqua" w:hAnsi="Book Antiqua"/>
          <w:color w:val="000000" w:themeColor="text1"/>
        </w:rPr>
        <w:t xml:space="preserve"> </w:t>
      </w:r>
      <w:r w:rsidR="00893BAF">
        <w:rPr>
          <w:rFonts w:ascii="Book Antiqua" w:hAnsi="Book Antiqua"/>
          <w:color w:val="000000" w:themeColor="text1"/>
        </w:rPr>
        <w:t xml:space="preserve">and </w:t>
      </w:r>
      <w:r w:rsidR="0005101A">
        <w:rPr>
          <w:rFonts w:ascii="Book Antiqua" w:hAnsi="Book Antiqua"/>
          <w:color w:val="000000" w:themeColor="text1"/>
        </w:rPr>
        <w:t xml:space="preserve">more </w:t>
      </w:r>
      <w:r w:rsidR="00893BAF">
        <w:rPr>
          <w:rFonts w:ascii="Book Antiqua" w:hAnsi="Book Antiqua"/>
          <w:color w:val="000000" w:themeColor="text1"/>
        </w:rPr>
        <w:t>equitable</w:t>
      </w:r>
      <w:r w:rsidR="00D7218F">
        <w:rPr>
          <w:rFonts w:ascii="Book Antiqua" w:hAnsi="Book Antiqua"/>
          <w:color w:val="000000" w:themeColor="text1"/>
        </w:rPr>
        <w:t xml:space="preserve"> </w:t>
      </w:r>
      <w:r w:rsidR="00674A74">
        <w:rPr>
          <w:rFonts w:ascii="Book Antiqua" w:hAnsi="Book Antiqua"/>
          <w:color w:val="000000" w:themeColor="text1"/>
        </w:rPr>
        <w:t>contributions</w:t>
      </w:r>
      <w:r w:rsidR="0005101A">
        <w:rPr>
          <w:rFonts w:ascii="Book Antiqua" w:hAnsi="Book Antiqua"/>
          <w:color w:val="000000" w:themeColor="text1"/>
        </w:rPr>
        <w:t xml:space="preserve"> from all member States</w:t>
      </w:r>
      <w:r w:rsidR="00893BAF">
        <w:rPr>
          <w:rFonts w:ascii="Book Antiqua" w:hAnsi="Book Antiqua"/>
          <w:color w:val="000000" w:themeColor="text1"/>
        </w:rPr>
        <w:t xml:space="preserve">. </w:t>
      </w:r>
    </w:p>
    <w:p w14:paraId="5DEFB7A2" w14:textId="37129BB1" w:rsidR="00893BAF" w:rsidRPr="00F16DEF" w:rsidRDefault="00813E60" w:rsidP="00B4051D">
      <w:pPr>
        <w:pStyle w:val="ListParagraph"/>
        <w:numPr>
          <w:ilvl w:val="0"/>
          <w:numId w:val="2"/>
        </w:numPr>
        <w:snapToGrid w:val="0"/>
        <w:spacing w:after="120" w:line="276" w:lineRule="auto"/>
        <w:ind w:left="0" w:firstLine="0"/>
        <w:contextualSpacing w:val="0"/>
        <w:jc w:val="both"/>
      </w:pPr>
      <w:r w:rsidRPr="00D841EA">
        <w:rPr>
          <w:rFonts w:ascii="Book Antiqua" w:hAnsi="Book Antiqua"/>
          <w:color w:val="000000" w:themeColor="text1"/>
        </w:rPr>
        <w:t xml:space="preserve">It </w:t>
      </w:r>
      <w:r w:rsidR="00B4051D" w:rsidRPr="00D5037C">
        <w:rPr>
          <w:rFonts w:ascii="Book Antiqua" w:hAnsi="Book Antiqua"/>
          <w:color w:val="000000" w:themeColor="text1"/>
        </w:rPr>
        <w:t>wa</w:t>
      </w:r>
      <w:r w:rsidRPr="00D841EA">
        <w:rPr>
          <w:rFonts w:ascii="Book Antiqua" w:hAnsi="Book Antiqua"/>
          <w:color w:val="000000" w:themeColor="text1"/>
        </w:rPr>
        <w:t xml:space="preserve">s envisioned in the </w:t>
      </w:r>
      <w:r w:rsidR="00EE2B83" w:rsidRPr="00D841EA">
        <w:rPr>
          <w:rFonts w:ascii="Book Antiqua" w:hAnsi="Book Antiqua"/>
          <w:color w:val="000000" w:themeColor="text1"/>
        </w:rPr>
        <w:t xml:space="preserve">founding Framework of NEASPEC adopted at SOM-3 in 1996 </w:t>
      </w:r>
      <w:r w:rsidRPr="00D841EA">
        <w:rPr>
          <w:rFonts w:ascii="Book Antiqua" w:hAnsi="Book Antiqua"/>
          <w:color w:val="000000" w:themeColor="text1"/>
        </w:rPr>
        <w:t xml:space="preserve">that a </w:t>
      </w:r>
      <w:r w:rsidRPr="00D5037C">
        <w:rPr>
          <w:rFonts w:ascii="Book Antiqua" w:hAnsi="Book Antiqua"/>
          <w:color w:val="000000" w:themeColor="text1"/>
        </w:rPr>
        <w:t>trust fund</w:t>
      </w:r>
      <w:r w:rsidRPr="00D841EA">
        <w:rPr>
          <w:rFonts w:ascii="Book Antiqua" w:hAnsi="Book Antiqua"/>
          <w:color w:val="000000" w:themeColor="text1"/>
        </w:rPr>
        <w:t xml:space="preserve"> </w:t>
      </w:r>
      <w:r w:rsidR="00C8099C" w:rsidRPr="00D841EA">
        <w:rPr>
          <w:rFonts w:ascii="Book Antiqua" w:hAnsi="Book Antiqua"/>
          <w:color w:val="000000" w:themeColor="text1"/>
        </w:rPr>
        <w:t xml:space="preserve">would be </w:t>
      </w:r>
      <w:r w:rsidR="00444B5F" w:rsidRPr="00D841EA">
        <w:rPr>
          <w:rFonts w:ascii="Book Antiqua" w:hAnsi="Book Antiqua"/>
          <w:color w:val="000000" w:themeColor="text1"/>
        </w:rPr>
        <w:t>established</w:t>
      </w:r>
      <w:r w:rsidR="00C8099C" w:rsidRPr="00D841EA">
        <w:rPr>
          <w:rFonts w:ascii="Book Antiqua" w:hAnsi="Book Antiqua"/>
          <w:color w:val="000000" w:themeColor="text1"/>
        </w:rPr>
        <w:t xml:space="preserve"> </w:t>
      </w:r>
      <w:r w:rsidRPr="00D841EA">
        <w:rPr>
          <w:rFonts w:ascii="Book Antiqua" w:hAnsi="Book Antiqua"/>
          <w:color w:val="000000" w:themeColor="text1"/>
        </w:rPr>
        <w:t>to ensure effective and efficient Programme implementation over a longer time frame</w:t>
      </w:r>
      <w:r w:rsidR="00E321A4" w:rsidRPr="00D841EA">
        <w:rPr>
          <w:rFonts w:ascii="Book Antiqua" w:hAnsi="Book Antiqua"/>
          <w:color w:val="000000" w:themeColor="text1"/>
        </w:rPr>
        <w:t>.</w:t>
      </w:r>
      <w:r w:rsidR="00E321A4" w:rsidRPr="00D841EA">
        <w:rPr>
          <w:rStyle w:val="FootnoteReference"/>
          <w:rFonts w:ascii="Book Antiqua" w:hAnsi="Book Antiqua"/>
          <w:color w:val="000000" w:themeColor="text1"/>
        </w:rPr>
        <w:footnoteReference w:id="3"/>
      </w:r>
      <w:r w:rsidR="00E321A4" w:rsidRPr="00D841EA">
        <w:rPr>
          <w:rFonts w:ascii="Book Antiqua" w:hAnsi="Book Antiqua"/>
          <w:color w:val="000000" w:themeColor="text1"/>
        </w:rPr>
        <w:t xml:space="preserve"> </w:t>
      </w:r>
      <w:r w:rsidR="006153C7">
        <w:rPr>
          <w:rFonts w:ascii="Book Antiqua" w:hAnsi="Book Antiqua"/>
          <w:color w:val="000000" w:themeColor="text1"/>
        </w:rPr>
        <w:t>T</w:t>
      </w:r>
      <w:r w:rsidR="00893BAF" w:rsidRPr="00B4051D">
        <w:rPr>
          <w:rFonts w:ascii="Book Antiqua" w:hAnsi="Book Antiqua"/>
          <w:color w:val="000000" w:themeColor="text1"/>
        </w:rPr>
        <w:t>he funding modality and its scale ha</w:t>
      </w:r>
      <w:r w:rsidR="006153C7">
        <w:rPr>
          <w:rFonts w:ascii="Book Antiqua" w:hAnsi="Book Antiqua"/>
          <w:color w:val="000000" w:themeColor="text1"/>
        </w:rPr>
        <w:t>ve</w:t>
      </w:r>
      <w:r w:rsidR="00893BAF" w:rsidRPr="00B4051D">
        <w:rPr>
          <w:rFonts w:ascii="Book Antiqua" w:hAnsi="Book Antiqua"/>
          <w:color w:val="000000" w:themeColor="text1"/>
        </w:rPr>
        <w:t xml:space="preserve"> been discussed at several SOMs</w:t>
      </w:r>
      <w:r w:rsidR="006153C7">
        <w:rPr>
          <w:rFonts w:ascii="Book Antiqua" w:hAnsi="Book Antiqua"/>
          <w:color w:val="000000" w:themeColor="text1"/>
        </w:rPr>
        <w:t>, i</w:t>
      </w:r>
      <w:r w:rsidR="00893BAF" w:rsidRPr="00B4051D">
        <w:rPr>
          <w:rFonts w:ascii="Book Antiqua" w:hAnsi="Book Antiqua"/>
          <w:color w:val="000000" w:themeColor="text1"/>
        </w:rPr>
        <w:t xml:space="preserve">n particular, </w:t>
      </w:r>
      <w:r w:rsidR="00400705" w:rsidRPr="00B4051D">
        <w:rPr>
          <w:rFonts w:ascii="Book Antiqua" w:hAnsi="Book Antiqua"/>
          <w:color w:val="000000" w:themeColor="text1"/>
        </w:rPr>
        <w:t>SOM</w:t>
      </w:r>
      <w:r w:rsidR="0018236E" w:rsidRPr="00B4051D">
        <w:rPr>
          <w:rFonts w:ascii="Book Antiqua" w:hAnsi="Book Antiqua"/>
          <w:color w:val="000000" w:themeColor="text1"/>
        </w:rPr>
        <w:t xml:space="preserve">-12 in 2007 and </w:t>
      </w:r>
      <w:r w:rsidR="00893BAF" w:rsidRPr="00B4051D">
        <w:rPr>
          <w:rFonts w:ascii="Book Antiqua" w:hAnsi="Book Antiqua"/>
          <w:color w:val="000000" w:themeColor="text1"/>
        </w:rPr>
        <w:t>SOM-17 in 2012</w:t>
      </w:r>
      <w:r w:rsidR="0018236E" w:rsidRPr="00B4051D">
        <w:rPr>
          <w:rFonts w:ascii="Book Antiqua" w:hAnsi="Book Antiqua"/>
          <w:color w:val="000000" w:themeColor="text1"/>
        </w:rPr>
        <w:t xml:space="preserve">. Both meetings </w:t>
      </w:r>
      <w:r w:rsidR="00893BAF" w:rsidRPr="00B4051D">
        <w:rPr>
          <w:rFonts w:ascii="Book Antiqua" w:hAnsi="Book Antiqua"/>
          <w:color w:val="000000" w:themeColor="text1"/>
        </w:rPr>
        <w:t>reviewed recommendation</w:t>
      </w:r>
      <w:r w:rsidR="000F4E64" w:rsidRPr="00B4051D">
        <w:rPr>
          <w:rFonts w:ascii="Book Antiqua" w:hAnsi="Book Antiqua"/>
          <w:color w:val="000000" w:themeColor="text1"/>
        </w:rPr>
        <w:t>s</w:t>
      </w:r>
      <w:r w:rsidR="00893BAF" w:rsidRPr="00B4051D">
        <w:rPr>
          <w:rFonts w:ascii="Book Antiqua" w:hAnsi="Book Antiqua"/>
          <w:color w:val="000000" w:themeColor="text1"/>
        </w:rPr>
        <w:t xml:space="preserve"> to move away from the present voluntary contributions to a more stable and regular </w:t>
      </w:r>
      <w:r w:rsidR="00893BAF" w:rsidRPr="007917FE">
        <w:rPr>
          <w:rFonts w:ascii="Book Antiqua" w:hAnsi="Book Antiqua"/>
          <w:color w:val="000000" w:themeColor="text1"/>
        </w:rPr>
        <w:t>mechanism</w:t>
      </w:r>
      <w:r w:rsidR="00524403" w:rsidRPr="007917FE">
        <w:rPr>
          <w:rFonts w:ascii="Book Antiqua" w:hAnsi="Book Antiqua"/>
          <w:color w:val="000000" w:themeColor="text1"/>
        </w:rPr>
        <w:t>, including the consideration of a voluntary trust fund agreement</w:t>
      </w:r>
      <w:r w:rsidR="00C82A6E" w:rsidRPr="007917FE">
        <w:rPr>
          <w:rFonts w:ascii="Book Antiqua" w:hAnsi="Book Antiqua"/>
          <w:color w:val="000000" w:themeColor="text1"/>
        </w:rPr>
        <w:t xml:space="preserve"> at</w:t>
      </w:r>
      <w:r w:rsidR="00E5286F" w:rsidRPr="007917FE">
        <w:rPr>
          <w:rFonts w:ascii="Book Antiqua" w:hAnsi="Book Antiqua"/>
          <w:color w:val="000000" w:themeColor="text1"/>
        </w:rPr>
        <w:t xml:space="preserve"> SOM-12</w:t>
      </w:r>
      <w:r w:rsidR="00D2216F" w:rsidRPr="007917FE">
        <w:rPr>
          <w:rFonts w:ascii="Book Antiqua" w:hAnsi="Book Antiqua"/>
          <w:color w:val="000000" w:themeColor="text1"/>
        </w:rPr>
        <w:t xml:space="preserve"> (Annex 1)</w:t>
      </w:r>
      <w:r w:rsidR="00E5286F" w:rsidRPr="007917FE">
        <w:rPr>
          <w:rFonts w:ascii="Book Antiqua" w:hAnsi="Book Antiqua"/>
          <w:color w:val="000000" w:themeColor="text1"/>
        </w:rPr>
        <w:t>.</w:t>
      </w:r>
      <w:r w:rsidR="00893BAF" w:rsidRPr="007917FE">
        <w:rPr>
          <w:rFonts w:ascii="Book Antiqua" w:hAnsi="Book Antiqua"/>
          <w:color w:val="000000" w:themeColor="text1"/>
        </w:rPr>
        <w:t xml:space="preserve"> Since then, there has been increasing financial resources, particularly, with project-based funding. </w:t>
      </w:r>
      <w:r w:rsidR="00130F7A" w:rsidRPr="007917FE">
        <w:rPr>
          <w:rFonts w:ascii="Book Antiqua" w:hAnsi="Book Antiqua"/>
          <w:color w:val="000000" w:themeColor="text1"/>
        </w:rPr>
        <w:t>However, t</w:t>
      </w:r>
      <w:r w:rsidR="00893BAF" w:rsidRPr="007917FE">
        <w:rPr>
          <w:rFonts w:ascii="Book Antiqua" w:hAnsi="Book Antiqua"/>
          <w:color w:val="000000" w:themeColor="text1"/>
        </w:rPr>
        <w:t xml:space="preserve">he evaluation further emphasizes the need </w:t>
      </w:r>
      <w:r w:rsidR="00E110CC" w:rsidRPr="007917FE">
        <w:rPr>
          <w:rFonts w:ascii="Book Antiqua" w:hAnsi="Book Antiqua"/>
          <w:color w:val="000000" w:themeColor="text1"/>
        </w:rPr>
        <w:t xml:space="preserve">for </w:t>
      </w:r>
      <w:r w:rsidR="00AF2443" w:rsidRPr="007917FE">
        <w:rPr>
          <w:rFonts w:ascii="Book Antiqua" w:hAnsi="Book Antiqua"/>
          <w:color w:val="000000" w:themeColor="text1"/>
        </w:rPr>
        <w:t xml:space="preserve">more </w:t>
      </w:r>
      <w:r w:rsidR="00E110CC" w:rsidRPr="007917FE">
        <w:rPr>
          <w:rFonts w:ascii="Book Antiqua" w:hAnsi="Book Antiqua"/>
          <w:color w:val="000000" w:themeColor="text1"/>
        </w:rPr>
        <w:t xml:space="preserve">stable and predictable </w:t>
      </w:r>
      <w:r w:rsidR="0002586E" w:rsidRPr="007917FE">
        <w:rPr>
          <w:rFonts w:ascii="Book Antiqua" w:hAnsi="Book Antiqua"/>
          <w:color w:val="000000" w:themeColor="text1"/>
        </w:rPr>
        <w:t>financial resources</w:t>
      </w:r>
      <w:r w:rsidR="00105346" w:rsidRPr="007917FE">
        <w:rPr>
          <w:rFonts w:ascii="Book Antiqua" w:hAnsi="Book Antiqua"/>
          <w:color w:val="000000" w:themeColor="text1"/>
        </w:rPr>
        <w:t>.</w:t>
      </w:r>
      <w:r w:rsidR="00E110CC" w:rsidRPr="007917FE">
        <w:rPr>
          <w:rFonts w:ascii="Book Antiqua" w:hAnsi="Book Antiqua"/>
          <w:color w:val="000000" w:themeColor="text1"/>
        </w:rPr>
        <w:t xml:space="preserve"> </w:t>
      </w:r>
      <w:r w:rsidR="00A72AFC" w:rsidRPr="007917FE">
        <w:rPr>
          <w:rFonts w:ascii="Book Antiqua" w:hAnsi="Book Antiqua"/>
          <w:color w:val="000000" w:themeColor="text1"/>
        </w:rPr>
        <w:t xml:space="preserve">ESCAP management responses </w:t>
      </w:r>
      <w:r w:rsidR="00D2216F" w:rsidRPr="007917FE">
        <w:rPr>
          <w:rFonts w:ascii="Book Antiqua" w:hAnsi="Book Antiqua"/>
          <w:color w:val="000000" w:themeColor="text1"/>
        </w:rPr>
        <w:t xml:space="preserve">to the evaluation </w:t>
      </w:r>
      <w:r w:rsidR="00A72AFC" w:rsidRPr="007917FE">
        <w:rPr>
          <w:rFonts w:ascii="Book Antiqua" w:hAnsi="Book Antiqua"/>
          <w:color w:val="000000" w:themeColor="text1"/>
        </w:rPr>
        <w:t>suggested institutionalizing the modality of national contributions, for example, through a trust fund agreement</w:t>
      </w:r>
      <w:r w:rsidR="00D2216F" w:rsidRPr="007917FE">
        <w:rPr>
          <w:rFonts w:ascii="Book Antiqua" w:hAnsi="Book Antiqua"/>
          <w:color w:val="000000" w:themeColor="text1"/>
        </w:rPr>
        <w:t>.</w:t>
      </w:r>
      <w:r w:rsidR="00D2216F" w:rsidRPr="007917FE">
        <w:rPr>
          <w:rStyle w:val="FootnoteReference"/>
          <w:rFonts w:ascii="Book Antiqua" w:hAnsi="Book Antiqua"/>
          <w:color w:val="000000" w:themeColor="text1"/>
        </w:rPr>
        <w:footnoteReference w:id="4"/>
      </w:r>
      <w:r w:rsidR="00A72AFC">
        <w:rPr>
          <w:rFonts w:ascii="Book Antiqua" w:hAnsi="Book Antiqua"/>
          <w:color w:val="000000" w:themeColor="text1"/>
        </w:rPr>
        <w:t xml:space="preserve"> </w:t>
      </w:r>
    </w:p>
    <w:p w14:paraId="3AC42762" w14:textId="1C8C425D" w:rsidR="0040185E" w:rsidRDefault="00893BAF" w:rsidP="00BB0233">
      <w:pPr>
        <w:pStyle w:val="ListParagraph"/>
        <w:numPr>
          <w:ilvl w:val="0"/>
          <w:numId w:val="2"/>
        </w:numPr>
        <w:snapToGrid w:val="0"/>
        <w:spacing w:after="120" w:line="276" w:lineRule="auto"/>
        <w:ind w:left="0" w:firstLine="0"/>
        <w:contextualSpacing w:val="0"/>
        <w:jc w:val="both"/>
      </w:pPr>
      <w:r>
        <w:rPr>
          <w:rFonts w:ascii="Book Antiqua" w:hAnsi="Book Antiqua"/>
          <w:color w:val="000000" w:themeColor="text1"/>
        </w:rPr>
        <w:t>The SOM-24</w:t>
      </w:r>
      <w:r w:rsidR="007D18FC">
        <w:rPr>
          <w:rFonts w:ascii="Book Antiqua" w:hAnsi="Book Antiqua"/>
          <w:color w:val="000000" w:themeColor="text1"/>
        </w:rPr>
        <w:t xml:space="preserve"> in 2020</w:t>
      </w:r>
      <w:r w:rsidR="000F6F0A">
        <w:rPr>
          <w:rFonts w:ascii="Book Antiqua" w:hAnsi="Book Antiqua"/>
          <w:color w:val="000000" w:themeColor="text1"/>
        </w:rPr>
        <w:t>, thus,</w:t>
      </w:r>
      <w:r>
        <w:rPr>
          <w:rFonts w:ascii="Book Antiqua" w:hAnsi="Book Antiqua"/>
          <w:color w:val="000000" w:themeColor="text1"/>
        </w:rPr>
        <w:t xml:space="preserve"> </w:t>
      </w:r>
      <w:r w:rsidR="00D53B44" w:rsidRPr="0040185E">
        <w:rPr>
          <w:rFonts w:ascii="Book Antiqua" w:hAnsi="Book Antiqua"/>
          <w:color w:val="000000" w:themeColor="text1"/>
        </w:rPr>
        <w:t>decided to hold a National Focal Point (NFP) Meeting to develop and agree on concrete implementation plan for addressing the evaluation recommendations with clear responsibilities and timelines</w:t>
      </w:r>
      <w:r w:rsidR="000F6F0A">
        <w:rPr>
          <w:rFonts w:ascii="Book Antiqua" w:hAnsi="Book Antiqua"/>
          <w:color w:val="000000" w:themeColor="text1"/>
        </w:rPr>
        <w:t xml:space="preserve"> including on the funding modality</w:t>
      </w:r>
      <w:r w:rsidR="00D53B44" w:rsidRPr="0040185E">
        <w:rPr>
          <w:rFonts w:ascii="Book Antiqua" w:hAnsi="Book Antiqua"/>
          <w:color w:val="000000" w:themeColor="text1"/>
        </w:rPr>
        <w:t>.</w:t>
      </w:r>
      <w:r w:rsidR="001824F7">
        <w:rPr>
          <w:rStyle w:val="FootnoteReference"/>
          <w:rFonts w:ascii="Book Antiqua" w:hAnsi="Book Antiqua"/>
          <w:color w:val="000000" w:themeColor="text1"/>
        </w:rPr>
        <w:footnoteReference w:id="5"/>
      </w:r>
      <w:r w:rsidR="0040185E" w:rsidRPr="0040185E">
        <w:t xml:space="preserve"> </w:t>
      </w:r>
    </w:p>
    <w:p w14:paraId="04FB0289" w14:textId="1BC80A8B" w:rsidR="001824F7" w:rsidRDefault="000F6F0A" w:rsidP="00BB0233">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Pr>
          <w:rFonts w:ascii="Book Antiqua" w:hAnsi="Book Antiqua"/>
          <w:color w:val="000000" w:themeColor="text1"/>
        </w:rPr>
        <w:t>To support the discussions of NFP meeting on a new funding modality, t</w:t>
      </w:r>
      <w:r w:rsidR="001824F7" w:rsidRPr="00D53B44">
        <w:rPr>
          <w:rFonts w:ascii="Book Antiqua" w:hAnsi="Book Antiqua"/>
          <w:color w:val="000000" w:themeColor="text1"/>
        </w:rPr>
        <w:t xml:space="preserve">his document </w:t>
      </w:r>
      <w:r>
        <w:rPr>
          <w:rFonts w:ascii="Book Antiqua" w:hAnsi="Book Antiqua"/>
          <w:color w:val="000000" w:themeColor="text1"/>
        </w:rPr>
        <w:t>provides relevant information of other subregional environmental mechanisms and overview of NEASPEC funding</w:t>
      </w:r>
      <w:r w:rsidR="0040185E">
        <w:rPr>
          <w:rFonts w:ascii="Book Antiqua" w:hAnsi="Book Antiqua"/>
          <w:color w:val="000000" w:themeColor="text1"/>
        </w:rPr>
        <w:t>.</w:t>
      </w:r>
      <w:r w:rsidR="001824F7" w:rsidRPr="00D53B44">
        <w:rPr>
          <w:rFonts w:ascii="Book Antiqua" w:hAnsi="Book Antiqua"/>
          <w:color w:val="000000" w:themeColor="text1"/>
        </w:rPr>
        <w:t xml:space="preserve"> </w:t>
      </w:r>
    </w:p>
    <w:p w14:paraId="56E85F8E" w14:textId="77777777" w:rsidR="00C45C15" w:rsidRPr="001824F7" w:rsidRDefault="00C45C15" w:rsidP="00C45C15">
      <w:pPr>
        <w:pStyle w:val="ListParagraph"/>
        <w:snapToGrid w:val="0"/>
        <w:spacing w:after="120" w:line="276" w:lineRule="auto"/>
        <w:ind w:left="0"/>
        <w:contextualSpacing w:val="0"/>
        <w:jc w:val="both"/>
        <w:rPr>
          <w:rFonts w:ascii="Book Antiqua" w:hAnsi="Book Antiqua"/>
          <w:color w:val="000000" w:themeColor="text1"/>
        </w:rPr>
      </w:pPr>
    </w:p>
    <w:p w14:paraId="42396923" w14:textId="190607B4" w:rsidR="00D53B44" w:rsidRPr="00447682" w:rsidRDefault="00D53B44" w:rsidP="00143DC7">
      <w:pPr>
        <w:pStyle w:val="Header"/>
        <w:numPr>
          <w:ilvl w:val="0"/>
          <w:numId w:val="1"/>
        </w:numPr>
        <w:tabs>
          <w:tab w:val="clear" w:pos="4320"/>
          <w:tab w:val="clear" w:pos="8640"/>
        </w:tabs>
        <w:spacing w:after="240"/>
        <w:jc w:val="center"/>
        <w:outlineLvl w:val="0"/>
        <w:rPr>
          <w:rFonts w:ascii="Book Antiqua" w:eastAsia="SimSun" w:hAnsi="Book Antiqua" w:cs="Times New Roman"/>
          <w:b/>
          <w:iCs/>
          <w:caps/>
          <w:color w:val="000000" w:themeColor="text1"/>
          <w:sz w:val="22"/>
          <w:szCs w:val="22"/>
          <w:lang w:eastAsia="ko-KR"/>
        </w:rPr>
      </w:pPr>
      <w:bookmarkStart w:id="3" w:name="_Toc64995274"/>
      <w:r w:rsidRPr="00447682">
        <w:rPr>
          <w:rFonts w:ascii="Book Antiqua" w:eastAsia="SimSun" w:hAnsi="Book Antiqua" w:cs="Times New Roman"/>
          <w:b/>
          <w:iCs/>
          <w:caps/>
          <w:color w:val="000000" w:themeColor="text1"/>
          <w:sz w:val="22"/>
          <w:szCs w:val="22"/>
          <w:lang w:eastAsia="ko-KR"/>
        </w:rPr>
        <w:t xml:space="preserve">Review of </w:t>
      </w:r>
      <w:r w:rsidR="001824F7" w:rsidRPr="00447682">
        <w:rPr>
          <w:rFonts w:ascii="Book Antiqua" w:eastAsia="SimSun" w:hAnsi="Book Antiqua" w:cs="Times New Roman"/>
          <w:b/>
          <w:iCs/>
          <w:caps/>
          <w:color w:val="000000" w:themeColor="text1"/>
          <w:sz w:val="22"/>
          <w:szCs w:val="22"/>
          <w:lang w:eastAsia="ko-KR"/>
        </w:rPr>
        <w:t>moDALITIES OF FINANCIAL MECHANISMS OF</w:t>
      </w:r>
      <w:r w:rsidR="00EB3915" w:rsidRPr="00447682">
        <w:rPr>
          <w:rFonts w:ascii="Book Antiqua" w:eastAsia="SimSun" w:hAnsi="Book Antiqua" w:cs="Times New Roman"/>
          <w:b/>
          <w:iCs/>
          <w:caps/>
          <w:color w:val="000000" w:themeColor="text1"/>
          <w:sz w:val="22"/>
          <w:szCs w:val="22"/>
          <w:lang w:eastAsia="ko-KR"/>
        </w:rPr>
        <w:t xml:space="preserve"> sub</w:t>
      </w:r>
      <w:r w:rsidR="001824F7" w:rsidRPr="00447682">
        <w:rPr>
          <w:rFonts w:ascii="Book Antiqua" w:eastAsia="SimSun" w:hAnsi="Book Antiqua" w:cs="Times New Roman"/>
          <w:b/>
          <w:iCs/>
          <w:caps/>
          <w:color w:val="000000" w:themeColor="text1"/>
          <w:sz w:val="22"/>
          <w:szCs w:val="22"/>
          <w:lang w:eastAsia="ko-KR"/>
        </w:rPr>
        <w:t>REGIONAL</w:t>
      </w:r>
      <w:r w:rsidR="007F10A4" w:rsidRPr="00447682">
        <w:rPr>
          <w:rFonts w:ascii="Book Antiqua" w:eastAsia="SimSun" w:hAnsi="Book Antiqua" w:cs="Times New Roman"/>
          <w:b/>
          <w:iCs/>
          <w:caps/>
          <w:color w:val="000000" w:themeColor="text1"/>
          <w:sz w:val="22"/>
          <w:szCs w:val="22"/>
          <w:lang w:eastAsia="ko-KR"/>
        </w:rPr>
        <w:t xml:space="preserve"> Environmental</w:t>
      </w:r>
      <w:r w:rsidR="001824F7" w:rsidRPr="00447682">
        <w:rPr>
          <w:rFonts w:ascii="Book Antiqua" w:eastAsia="SimSun" w:hAnsi="Book Antiqua" w:cs="Times New Roman"/>
          <w:b/>
          <w:iCs/>
          <w:caps/>
          <w:color w:val="000000" w:themeColor="text1"/>
          <w:sz w:val="22"/>
          <w:szCs w:val="22"/>
          <w:lang w:eastAsia="ko-KR"/>
        </w:rPr>
        <w:t xml:space="preserve"> </w:t>
      </w:r>
      <w:r w:rsidR="007F10A4" w:rsidRPr="00447682">
        <w:rPr>
          <w:rFonts w:ascii="Book Antiqua" w:eastAsia="SimSun" w:hAnsi="Book Antiqua" w:cs="Times New Roman"/>
          <w:b/>
          <w:iCs/>
          <w:caps/>
          <w:color w:val="000000" w:themeColor="text1"/>
          <w:sz w:val="22"/>
          <w:szCs w:val="22"/>
          <w:lang w:eastAsia="ko-KR"/>
        </w:rPr>
        <w:t xml:space="preserve">cooperation </w:t>
      </w:r>
      <w:r w:rsidR="001824F7" w:rsidRPr="00447682">
        <w:rPr>
          <w:rFonts w:ascii="Book Antiqua" w:eastAsia="SimSun" w:hAnsi="Book Antiqua" w:cs="Times New Roman"/>
          <w:b/>
          <w:iCs/>
          <w:caps/>
          <w:color w:val="000000" w:themeColor="text1"/>
          <w:sz w:val="22"/>
          <w:szCs w:val="22"/>
          <w:lang w:eastAsia="ko-KR"/>
        </w:rPr>
        <w:t>MECHANISMS</w:t>
      </w:r>
      <w:bookmarkEnd w:id="3"/>
    </w:p>
    <w:p w14:paraId="5F58C491" w14:textId="715A74EF" w:rsidR="000749C9" w:rsidRPr="000749C9" w:rsidRDefault="0022771E" w:rsidP="00BB0233">
      <w:pPr>
        <w:pStyle w:val="ListParagraph"/>
        <w:numPr>
          <w:ilvl w:val="0"/>
          <w:numId w:val="2"/>
        </w:numPr>
        <w:snapToGrid w:val="0"/>
        <w:spacing w:after="120" w:line="276" w:lineRule="auto"/>
        <w:ind w:left="0" w:firstLine="0"/>
        <w:contextualSpacing w:val="0"/>
        <w:jc w:val="both"/>
        <w:rPr>
          <w:rFonts w:ascii="Book Antiqua" w:hAnsi="Book Antiqua"/>
          <w:b/>
          <w:bCs/>
          <w:color w:val="000000" w:themeColor="text1"/>
        </w:rPr>
      </w:pPr>
      <w:r>
        <w:rPr>
          <w:rFonts w:ascii="Book Antiqua" w:eastAsia="SimSun" w:hAnsi="Book Antiqua" w:cs="Times New Roman"/>
          <w:color w:val="000000" w:themeColor="text1"/>
        </w:rPr>
        <w:t xml:space="preserve">This section reviews the funding modality of three subregional environmental mechanisms, i.e., </w:t>
      </w:r>
      <w:r w:rsidRPr="0022771E">
        <w:rPr>
          <w:rFonts w:ascii="Book Antiqua" w:eastAsia="SimSun" w:hAnsi="Book Antiqua" w:cs="Times New Roman"/>
          <w:color w:val="000000" w:themeColor="text1"/>
        </w:rPr>
        <w:t>North West Pacific Action Plan</w:t>
      </w:r>
      <w:r w:rsidR="00501D9D">
        <w:rPr>
          <w:rFonts w:ascii="Book Antiqua" w:eastAsia="SimSun" w:hAnsi="Book Antiqua" w:cs="Times New Roman"/>
          <w:color w:val="000000" w:themeColor="text1"/>
        </w:rPr>
        <w:t xml:space="preserve"> (NOWPAP)</w:t>
      </w:r>
      <w:r>
        <w:rPr>
          <w:rFonts w:ascii="Book Antiqua" w:eastAsia="SimSun" w:hAnsi="Book Antiqua" w:cs="Times New Roman"/>
          <w:color w:val="000000" w:themeColor="text1"/>
        </w:rPr>
        <w:t xml:space="preserve">, </w:t>
      </w:r>
      <w:r w:rsidRPr="0022771E">
        <w:rPr>
          <w:rFonts w:ascii="Book Antiqua" w:eastAsia="SimSun" w:hAnsi="Book Antiqua" w:cs="Times New Roman"/>
          <w:color w:val="000000" w:themeColor="text1"/>
        </w:rPr>
        <w:t>South Asia Cooperative Environment Programme</w:t>
      </w:r>
      <w:r>
        <w:rPr>
          <w:rFonts w:ascii="Book Antiqua" w:eastAsia="SimSun" w:hAnsi="Book Antiqua" w:cs="Times New Roman"/>
          <w:color w:val="000000" w:themeColor="text1"/>
        </w:rPr>
        <w:t xml:space="preserve"> </w:t>
      </w:r>
      <w:r w:rsidR="00501D9D">
        <w:rPr>
          <w:rFonts w:ascii="Book Antiqua" w:eastAsia="SimSun" w:hAnsi="Book Antiqua" w:cs="Times New Roman"/>
          <w:color w:val="000000" w:themeColor="text1"/>
        </w:rPr>
        <w:t xml:space="preserve">(SACEP) </w:t>
      </w:r>
      <w:r>
        <w:rPr>
          <w:rFonts w:ascii="Book Antiqua" w:eastAsia="SimSun" w:hAnsi="Book Antiqua" w:cs="Times New Roman"/>
          <w:color w:val="000000" w:themeColor="text1"/>
        </w:rPr>
        <w:t>and</w:t>
      </w:r>
      <w:r w:rsidRPr="0022771E">
        <w:t xml:space="preserve"> </w:t>
      </w:r>
      <w:r w:rsidRPr="0022771E">
        <w:rPr>
          <w:rFonts w:ascii="Book Antiqua" w:eastAsia="SimSun" w:hAnsi="Book Antiqua" w:cs="Times New Roman"/>
          <w:color w:val="000000" w:themeColor="text1"/>
        </w:rPr>
        <w:t>South Pacific Regional Environment Programme</w:t>
      </w:r>
      <w:r w:rsidR="00501D9D">
        <w:rPr>
          <w:rFonts w:ascii="Book Antiqua" w:eastAsia="SimSun" w:hAnsi="Book Antiqua" w:cs="Times New Roman"/>
          <w:color w:val="000000" w:themeColor="text1"/>
        </w:rPr>
        <w:t xml:space="preserve"> (SPREP)</w:t>
      </w:r>
      <w:r w:rsidR="008134B2">
        <w:rPr>
          <w:rFonts w:ascii="Book Antiqua" w:eastAsia="SimSun" w:hAnsi="Book Antiqua" w:cs="Times New Roman"/>
          <w:color w:val="000000" w:themeColor="text1"/>
        </w:rPr>
        <w:t>,</w:t>
      </w:r>
      <w:r w:rsidR="00501D9D">
        <w:rPr>
          <w:rFonts w:ascii="Book Antiqua" w:eastAsia="SimSun" w:hAnsi="Book Antiqua" w:cs="Times New Roman"/>
          <w:color w:val="000000" w:themeColor="text1"/>
        </w:rPr>
        <w:t xml:space="preserve"> </w:t>
      </w:r>
      <w:r>
        <w:rPr>
          <w:rFonts w:ascii="Book Antiqua" w:eastAsia="SimSun" w:hAnsi="Book Antiqua" w:cs="Times New Roman"/>
          <w:color w:val="000000" w:themeColor="text1"/>
        </w:rPr>
        <w:t xml:space="preserve">considering their relevance in terms of member States or their status equivalent to NEASPEC. </w:t>
      </w:r>
      <w:r w:rsidR="00EB3915">
        <w:rPr>
          <w:rFonts w:ascii="Book Antiqua" w:eastAsia="SimSun" w:hAnsi="Book Antiqua" w:cs="Times New Roman"/>
          <w:color w:val="000000" w:themeColor="text1"/>
        </w:rPr>
        <w:t xml:space="preserve">Most subregional programmes have established stable financial mechanisms </w:t>
      </w:r>
      <w:r w:rsidR="007F10A4">
        <w:rPr>
          <w:rFonts w:ascii="Book Antiqua" w:eastAsia="SimSun" w:hAnsi="Book Antiqua" w:cs="Times New Roman"/>
          <w:color w:val="000000" w:themeColor="text1"/>
        </w:rPr>
        <w:t xml:space="preserve">to support </w:t>
      </w:r>
      <w:r>
        <w:rPr>
          <w:rFonts w:ascii="Book Antiqua" w:eastAsia="SimSun" w:hAnsi="Book Antiqua" w:cs="Times New Roman"/>
          <w:color w:val="000000" w:themeColor="text1"/>
        </w:rPr>
        <w:t xml:space="preserve">secretariat operation and </w:t>
      </w:r>
      <w:r w:rsidR="007F10A4">
        <w:rPr>
          <w:rFonts w:ascii="Book Antiqua" w:eastAsia="SimSun" w:hAnsi="Book Antiqua" w:cs="Times New Roman"/>
          <w:color w:val="000000" w:themeColor="text1"/>
        </w:rPr>
        <w:t>projects</w:t>
      </w:r>
      <w:r w:rsidR="00D53B44">
        <w:rPr>
          <w:rFonts w:ascii="Book Antiqua" w:eastAsia="SimSun" w:hAnsi="Book Antiqua" w:cs="Times New Roman"/>
          <w:color w:val="000000" w:themeColor="text1"/>
        </w:rPr>
        <w:t>.</w:t>
      </w:r>
    </w:p>
    <w:p w14:paraId="0A2BF0C0" w14:textId="77777777" w:rsidR="008134B2" w:rsidRDefault="008134B2" w:rsidP="00532C39">
      <w:pPr>
        <w:snapToGrid w:val="0"/>
        <w:spacing w:before="240" w:after="120" w:line="276" w:lineRule="auto"/>
        <w:jc w:val="both"/>
        <w:rPr>
          <w:rFonts w:ascii="Book Antiqua" w:hAnsi="Book Antiqua"/>
          <w:b/>
          <w:bCs/>
          <w:i/>
          <w:iCs/>
          <w:color w:val="000000" w:themeColor="text1"/>
          <w:u w:val="single"/>
        </w:rPr>
      </w:pPr>
    </w:p>
    <w:p w14:paraId="5D4F37B5" w14:textId="3644D854" w:rsidR="00532C39" w:rsidRPr="007F10A4" w:rsidRDefault="00532C39" w:rsidP="00532C39">
      <w:pPr>
        <w:snapToGrid w:val="0"/>
        <w:spacing w:before="240" w:after="120" w:line="276" w:lineRule="auto"/>
        <w:jc w:val="both"/>
        <w:rPr>
          <w:rFonts w:ascii="Book Antiqua" w:hAnsi="Book Antiqua"/>
          <w:b/>
          <w:bCs/>
          <w:i/>
          <w:iCs/>
          <w:color w:val="000000" w:themeColor="text1"/>
          <w:u w:val="single"/>
        </w:rPr>
      </w:pPr>
      <w:r>
        <w:rPr>
          <w:rFonts w:ascii="Book Antiqua" w:hAnsi="Book Antiqua"/>
          <w:b/>
          <w:bCs/>
          <w:i/>
          <w:iCs/>
          <w:color w:val="000000" w:themeColor="text1"/>
          <w:u w:val="single"/>
        </w:rPr>
        <w:lastRenderedPageBreak/>
        <w:t>North West Pacific Action Plan (NOWPAP)</w:t>
      </w:r>
    </w:p>
    <w:p w14:paraId="43190873" w14:textId="0B99B539" w:rsidR="00532C39" w:rsidRDefault="00532C39" w:rsidP="00BB0233">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Pr>
          <w:rFonts w:ascii="Book Antiqua" w:hAnsi="Book Antiqua"/>
          <w:color w:val="000000" w:themeColor="text1"/>
        </w:rPr>
        <w:t>The Action Plan for the Protection, Management and Development of the Marine and Coastal Environment of the Northwest Pacific Region</w:t>
      </w:r>
      <w:r w:rsidR="0022771E">
        <w:rPr>
          <w:rFonts w:ascii="Book Antiqua" w:hAnsi="Book Antiqua"/>
          <w:color w:val="000000" w:themeColor="text1"/>
        </w:rPr>
        <w:t xml:space="preserve"> or mostly referred as</w:t>
      </w:r>
      <w:r w:rsidR="0022771E" w:rsidRPr="0022771E">
        <w:t xml:space="preserve"> </w:t>
      </w:r>
      <w:r w:rsidR="0022771E" w:rsidRPr="0022771E">
        <w:rPr>
          <w:rFonts w:ascii="Book Antiqua" w:hAnsi="Book Antiqua"/>
          <w:color w:val="000000" w:themeColor="text1"/>
        </w:rPr>
        <w:t>North West Pacific Action Plan</w:t>
      </w:r>
      <w:r>
        <w:rPr>
          <w:rFonts w:ascii="Book Antiqua" w:hAnsi="Book Antiqua"/>
          <w:color w:val="000000" w:themeColor="text1"/>
        </w:rPr>
        <w:t xml:space="preserve"> (NOWPAP) was adopted by China, Japan, the Republic of </w:t>
      </w:r>
      <w:proofErr w:type="gramStart"/>
      <w:r>
        <w:rPr>
          <w:rFonts w:ascii="Book Antiqua" w:hAnsi="Book Antiqua"/>
          <w:color w:val="000000" w:themeColor="text1"/>
        </w:rPr>
        <w:t>Korea</w:t>
      </w:r>
      <w:proofErr w:type="gramEnd"/>
      <w:r>
        <w:rPr>
          <w:rFonts w:ascii="Book Antiqua" w:hAnsi="Book Antiqua"/>
          <w:color w:val="000000" w:themeColor="text1"/>
        </w:rPr>
        <w:t xml:space="preserve"> and the Russian Federation in 1994 as a part of the </w:t>
      </w:r>
      <w:r w:rsidR="000A21FA">
        <w:rPr>
          <w:rFonts w:ascii="Book Antiqua" w:hAnsi="Book Antiqua"/>
          <w:color w:val="000000" w:themeColor="text1"/>
        </w:rPr>
        <w:t xml:space="preserve">UNEP </w:t>
      </w:r>
      <w:r>
        <w:rPr>
          <w:rFonts w:ascii="Book Antiqua" w:hAnsi="Book Antiqua"/>
          <w:color w:val="000000" w:themeColor="text1"/>
        </w:rPr>
        <w:t xml:space="preserve">Regional Seas Programme. </w:t>
      </w:r>
    </w:p>
    <w:p w14:paraId="575533E2" w14:textId="7BD0EFEC" w:rsidR="00133AEC" w:rsidRPr="00C016C2" w:rsidRDefault="00B77FDD" w:rsidP="00133AEC">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Pr>
          <w:rFonts w:ascii="Book Antiqua" w:hAnsi="Book Antiqua"/>
          <w:color w:val="000000" w:themeColor="text1"/>
        </w:rPr>
        <w:t>Member States of</w:t>
      </w:r>
      <w:r w:rsidRPr="00B77FDD">
        <w:rPr>
          <w:rFonts w:ascii="Book Antiqua" w:hAnsi="Book Antiqua"/>
          <w:color w:val="000000" w:themeColor="text1"/>
        </w:rPr>
        <w:t xml:space="preserve"> NOWPAP</w:t>
      </w:r>
      <w:r>
        <w:rPr>
          <w:rFonts w:ascii="Book Antiqua" w:hAnsi="Book Antiqua"/>
          <w:color w:val="000000" w:themeColor="text1"/>
        </w:rPr>
        <w:t xml:space="preserve"> decided to create </w:t>
      </w:r>
      <w:r w:rsidRPr="00B77FDD">
        <w:rPr>
          <w:rFonts w:ascii="Book Antiqua" w:hAnsi="Book Antiqua"/>
          <w:color w:val="000000" w:themeColor="text1"/>
        </w:rPr>
        <w:t>the trust fund at the early stage of its institutional development</w:t>
      </w:r>
      <w:r>
        <w:rPr>
          <w:rFonts w:ascii="Book Antiqua" w:hAnsi="Book Antiqua"/>
          <w:color w:val="000000" w:themeColor="text1"/>
        </w:rPr>
        <w:t xml:space="preserve">. The </w:t>
      </w:r>
      <w:r w:rsidRPr="00B77FDD">
        <w:rPr>
          <w:rFonts w:ascii="Book Antiqua" w:hAnsi="Book Antiqua"/>
          <w:color w:val="000000" w:themeColor="text1"/>
        </w:rPr>
        <w:t>second Intergovernmental Meeting in 1996</w:t>
      </w:r>
      <w:r>
        <w:rPr>
          <w:rFonts w:ascii="Book Antiqua" w:hAnsi="Book Antiqua"/>
          <w:color w:val="000000" w:themeColor="text1"/>
        </w:rPr>
        <w:t xml:space="preserve"> </w:t>
      </w:r>
      <w:proofErr w:type="gramStart"/>
      <w:r>
        <w:rPr>
          <w:rFonts w:ascii="Book Antiqua" w:hAnsi="Book Antiqua"/>
          <w:color w:val="000000" w:themeColor="text1"/>
        </w:rPr>
        <w:t>came to a conclusion</w:t>
      </w:r>
      <w:proofErr w:type="gramEnd"/>
      <w:r>
        <w:rPr>
          <w:rFonts w:ascii="Book Antiqua" w:hAnsi="Book Antiqua"/>
          <w:color w:val="000000" w:themeColor="text1"/>
        </w:rPr>
        <w:t xml:space="preserve"> on </w:t>
      </w:r>
      <w:r w:rsidR="00812DCF">
        <w:rPr>
          <w:rFonts w:ascii="Book Antiqua" w:hAnsi="Book Antiqua"/>
          <w:color w:val="000000" w:themeColor="text1"/>
        </w:rPr>
        <w:t xml:space="preserve">the tentative scale of </w:t>
      </w:r>
      <w:r w:rsidRPr="00B77FDD">
        <w:rPr>
          <w:rFonts w:ascii="Book Antiqua" w:hAnsi="Book Antiqua"/>
          <w:color w:val="000000" w:themeColor="text1"/>
        </w:rPr>
        <w:t>each country’s contribution toward</w:t>
      </w:r>
      <w:r w:rsidR="00812DCF">
        <w:rPr>
          <w:rFonts w:ascii="Book Antiqua" w:hAnsi="Book Antiqua"/>
          <w:color w:val="000000" w:themeColor="text1"/>
        </w:rPr>
        <w:t>s</w:t>
      </w:r>
      <w:r w:rsidRPr="00B77FDD">
        <w:rPr>
          <w:rFonts w:ascii="Book Antiqua" w:hAnsi="Book Antiqua"/>
          <w:color w:val="000000" w:themeColor="text1"/>
        </w:rPr>
        <w:t xml:space="preserve"> the target</w:t>
      </w:r>
      <w:r w:rsidR="0087330E">
        <w:rPr>
          <w:rFonts w:ascii="Book Antiqua" w:hAnsi="Book Antiqua"/>
          <w:color w:val="000000" w:themeColor="text1"/>
        </w:rPr>
        <w:t>ed</w:t>
      </w:r>
      <w:r w:rsidRPr="00B77FDD">
        <w:rPr>
          <w:rFonts w:ascii="Book Antiqua" w:hAnsi="Book Antiqua"/>
          <w:color w:val="000000" w:themeColor="text1"/>
        </w:rPr>
        <w:t xml:space="preserve"> amount</w:t>
      </w:r>
      <w:r w:rsidR="0087330E">
        <w:rPr>
          <w:rFonts w:ascii="Book Antiqua" w:hAnsi="Book Antiqua"/>
          <w:color w:val="000000" w:themeColor="text1"/>
        </w:rPr>
        <w:t xml:space="preserve"> per year</w:t>
      </w:r>
      <w:r w:rsidRPr="00B77FDD">
        <w:rPr>
          <w:rFonts w:ascii="Book Antiqua" w:hAnsi="Book Antiqua"/>
          <w:color w:val="000000" w:themeColor="text1"/>
        </w:rPr>
        <w:t xml:space="preserve">. The modality consists of </w:t>
      </w:r>
      <w:r w:rsidR="008134B2">
        <w:rPr>
          <w:rFonts w:ascii="Book Antiqua" w:hAnsi="Book Antiqua"/>
          <w:color w:val="000000" w:themeColor="text1"/>
        </w:rPr>
        <w:t xml:space="preserve">(a) </w:t>
      </w:r>
      <w:r w:rsidR="00E1081C">
        <w:rPr>
          <w:rFonts w:ascii="Book Antiqua" w:hAnsi="Book Antiqua"/>
          <w:color w:val="000000" w:themeColor="text1"/>
        </w:rPr>
        <w:t>a 5</w:t>
      </w:r>
      <w:r w:rsidR="00D82DAB">
        <w:rPr>
          <w:rFonts w:ascii="Book Antiqua" w:hAnsi="Book Antiqua"/>
          <w:color w:val="000000" w:themeColor="text1"/>
        </w:rPr>
        <w:t xml:space="preserve"> per</w:t>
      </w:r>
      <w:r w:rsidR="008134B2">
        <w:rPr>
          <w:rFonts w:ascii="Book Antiqua" w:hAnsi="Book Antiqua"/>
          <w:color w:val="000000" w:themeColor="text1"/>
        </w:rPr>
        <w:t xml:space="preserve"> </w:t>
      </w:r>
      <w:r w:rsidR="00D82DAB">
        <w:rPr>
          <w:rFonts w:ascii="Book Antiqua" w:hAnsi="Book Antiqua"/>
          <w:color w:val="000000" w:themeColor="text1"/>
        </w:rPr>
        <w:t>cent</w:t>
      </w:r>
      <w:r w:rsidR="00E1081C">
        <w:rPr>
          <w:rFonts w:ascii="Book Antiqua" w:hAnsi="Book Antiqua"/>
          <w:color w:val="000000" w:themeColor="text1"/>
        </w:rPr>
        <w:t xml:space="preserve"> “basic contribution” to ensure common participation and shared responsibility and (</w:t>
      </w:r>
      <w:r w:rsidR="008134B2">
        <w:rPr>
          <w:rFonts w:ascii="Book Antiqua" w:hAnsi="Book Antiqua"/>
          <w:color w:val="000000" w:themeColor="text1"/>
        </w:rPr>
        <w:t>b</w:t>
      </w:r>
      <w:r w:rsidR="00E1081C">
        <w:rPr>
          <w:rFonts w:ascii="Book Antiqua" w:hAnsi="Book Antiqua"/>
          <w:color w:val="000000" w:themeColor="text1"/>
        </w:rPr>
        <w:t xml:space="preserve">) an “additional contribution” </w:t>
      </w:r>
      <w:r w:rsidR="0087330E">
        <w:rPr>
          <w:rFonts w:ascii="Book Antiqua" w:hAnsi="Book Antiqua"/>
          <w:color w:val="000000" w:themeColor="text1"/>
        </w:rPr>
        <w:t>between 3</w:t>
      </w:r>
      <w:r w:rsidR="008134B2">
        <w:rPr>
          <w:rFonts w:ascii="Book Antiqua" w:hAnsi="Book Antiqua"/>
          <w:color w:val="000000" w:themeColor="text1"/>
        </w:rPr>
        <w:t>-</w:t>
      </w:r>
      <w:r w:rsidR="0087330E">
        <w:rPr>
          <w:rFonts w:ascii="Book Antiqua" w:hAnsi="Book Antiqua"/>
          <w:color w:val="000000" w:themeColor="text1"/>
        </w:rPr>
        <w:t>20 per</w:t>
      </w:r>
      <w:r w:rsidR="008134B2">
        <w:rPr>
          <w:rFonts w:ascii="Book Antiqua" w:hAnsi="Book Antiqua"/>
          <w:color w:val="000000" w:themeColor="text1"/>
        </w:rPr>
        <w:t xml:space="preserve"> </w:t>
      </w:r>
      <w:r w:rsidR="0087330E">
        <w:rPr>
          <w:rFonts w:ascii="Book Antiqua" w:hAnsi="Book Antiqua"/>
          <w:color w:val="000000" w:themeColor="text1"/>
        </w:rPr>
        <w:t xml:space="preserve">cent </w:t>
      </w:r>
      <w:r w:rsidR="00E1081C">
        <w:rPr>
          <w:rFonts w:ascii="Book Antiqua" w:hAnsi="Book Antiqua"/>
          <w:color w:val="000000" w:themeColor="text1"/>
        </w:rPr>
        <w:t xml:space="preserve">upon capacity to pay. </w:t>
      </w:r>
    </w:p>
    <w:p w14:paraId="746A5023" w14:textId="2894C3EA" w:rsidR="000B425A" w:rsidRPr="00143DC7" w:rsidRDefault="000B425A" w:rsidP="00501D9D">
      <w:pPr>
        <w:pStyle w:val="ListParagraph"/>
        <w:snapToGrid w:val="0"/>
        <w:spacing w:after="120" w:line="276" w:lineRule="auto"/>
        <w:ind w:left="0"/>
        <w:contextualSpacing w:val="0"/>
        <w:jc w:val="center"/>
        <w:rPr>
          <w:rFonts w:cstheme="minorHAnsi"/>
          <w:b/>
          <w:bCs/>
          <w:color w:val="000000" w:themeColor="text1"/>
        </w:rPr>
      </w:pPr>
      <w:r w:rsidRPr="00143DC7">
        <w:rPr>
          <w:rFonts w:cstheme="minorHAnsi"/>
          <w:b/>
          <w:bCs/>
          <w:color w:val="000000" w:themeColor="text1"/>
        </w:rPr>
        <w:t xml:space="preserve">Table 1. </w:t>
      </w:r>
      <w:r w:rsidR="00E1081C" w:rsidRPr="00143DC7">
        <w:rPr>
          <w:rFonts w:cstheme="minorHAnsi"/>
          <w:b/>
          <w:bCs/>
          <w:color w:val="000000" w:themeColor="text1"/>
        </w:rPr>
        <w:t xml:space="preserve">Tentative scale of </w:t>
      </w:r>
      <w:r w:rsidR="001A6246">
        <w:rPr>
          <w:rFonts w:cstheme="minorHAnsi"/>
          <w:b/>
          <w:bCs/>
          <w:color w:val="000000" w:themeColor="text1"/>
        </w:rPr>
        <w:t xml:space="preserve">annual </w:t>
      </w:r>
      <w:r w:rsidR="00E1081C" w:rsidRPr="00143DC7">
        <w:rPr>
          <w:rFonts w:cstheme="minorHAnsi"/>
          <w:b/>
          <w:bCs/>
          <w:color w:val="000000" w:themeColor="text1"/>
        </w:rPr>
        <w:t>c</w:t>
      </w:r>
      <w:r w:rsidRPr="00143DC7">
        <w:rPr>
          <w:rFonts w:cstheme="minorHAnsi"/>
          <w:b/>
          <w:bCs/>
          <w:color w:val="000000" w:themeColor="text1"/>
        </w:rPr>
        <w:t>ontribution</w:t>
      </w:r>
      <w:r w:rsidR="00E1081C" w:rsidRPr="00143DC7">
        <w:rPr>
          <w:rFonts w:cstheme="minorHAnsi"/>
          <w:b/>
          <w:bCs/>
          <w:color w:val="000000" w:themeColor="text1"/>
        </w:rPr>
        <w:t>s</w:t>
      </w:r>
      <w:r w:rsidRPr="00143DC7">
        <w:rPr>
          <w:rFonts w:cstheme="minorHAnsi"/>
          <w:b/>
          <w:bCs/>
          <w:color w:val="000000" w:themeColor="text1"/>
        </w:rPr>
        <w:t xml:space="preserve"> </w:t>
      </w:r>
      <w:r w:rsidR="00E1081C" w:rsidRPr="00143DC7">
        <w:rPr>
          <w:rFonts w:cstheme="minorHAnsi"/>
          <w:b/>
          <w:bCs/>
          <w:color w:val="000000" w:themeColor="text1"/>
        </w:rPr>
        <w:t>to the</w:t>
      </w:r>
      <w:r w:rsidRPr="00143DC7">
        <w:rPr>
          <w:rFonts w:cstheme="minorHAnsi"/>
          <w:b/>
          <w:bCs/>
          <w:color w:val="000000" w:themeColor="text1"/>
        </w:rPr>
        <w:t xml:space="preserve"> NOWPAP Trust Fund</w:t>
      </w:r>
    </w:p>
    <w:tbl>
      <w:tblPr>
        <w:tblStyle w:val="TableGrid"/>
        <w:tblW w:w="0" w:type="auto"/>
        <w:jc w:val="center"/>
        <w:tblLook w:val="04A0" w:firstRow="1" w:lastRow="0" w:firstColumn="1" w:lastColumn="0" w:noHBand="0" w:noVBand="1"/>
      </w:tblPr>
      <w:tblGrid>
        <w:gridCol w:w="2082"/>
        <w:gridCol w:w="2087"/>
        <w:gridCol w:w="2451"/>
        <w:gridCol w:w="2089"/>
      </w:tblGrid>
      <w:tr w:rsidR="000B425A" w:rsidRPr="00527520" w14:paraId="79E34073" w14:textId="7E817417" w:rsidTr="00133AEC">
        <w:trPr>
          <w:trHeight w:val="388"/>
          <w:jc w:val="center"/>
        </w:trPr>
        <w:tc>
          <w:tcPr>
            <w:tcW w:w="2082" w:type="dxa"/>
          </w:tcPr>
          <w:p w14:paraId="3D5C7F82" w14:textId="77777777" w:rsidR="000B425A" w:rsidRPr="00527520" w:rsidRDefault="000B425A" w:rsidP="00661B46">
            <w:pPr>
              <w:rPr>
                <w:b/>
                <w:bCs/>
              </w:rPr>
            </w:pPr>
            <w:r w:rsidRPr="00527520">
              <w:rPr>
                <w:b/>
                <w:bCs/>
              </w:rPr>
              <w:t>Country</w:t>
            </w:r>
          </w:p>
        </w:tc>
        <w:tc>
          <w:tcPr>
            <w:tcW w:w="2087" w:type="dxa"/>
          </w:tcPr>
          <w:p w14:paraId="209471EC" w14:textId="18CB4AC3" w:rsidR="000B425A" w:rsidRPr="00527520" w:rsidRDefault="000B425A" w:rsidP="00501D9D">
            <w:pPr>
              <w:jc w:val="right"/>
              <w:rPr>
                <w:b/>
                <w:bCs/>
              </w:rPr>
            </w:pPr>
            <w:r>
              <w:rPr>
                <w:b/>
                <w:bCs/>
              </w:rPr>
              <w:t>Basic Contribution</w:t>
            </w:r>
          </w:p>
        </w:tc>
        <w:tc>
          <w:tcPr>
            <w:tcW w:w="2451" w:type="dxa"/>
          </w:tcPr>
          <w:p w14:paraId="2D8AD311" w14:textId="7D14C64E" w:rsidR="000B425A" w:rsidRPr="00527520" w:rsidRDefault="000B425A" w:rsidP="00501D9D">
            <w:pPr>
              <w:jc w:val="right"/>
              <w:rPr>
                <w:b/>
                <w:bCs/>
              </w:rPr>
            </w:pPr>
            <w:r>
              <w:rPr>
                <w:b/>
                <w:bCs/>
              </w:rPr>
              <w:t>Additional Contribution</w:t>
            </w:r>
          </w:p>
        </w:tc>
        <w:tc>
          <w:tcPr>
            <w:tcW w:w="2087" w:type="dxa"/>
          </w:tcPr>
          <w:p w14:paraId="474F8B3E" w14:textId="1DD5CA85" w:rsidR="000B425A" w:rsidRPr="00527520" w:rsidRDefault="000B425A" w:rsidP="00501D9D">
            <w:pPr>
              <w:jc w:val="right"/>
              <w:rPr>
                <w:b/>
                <w:bCs/>
              </w:rPr>
            </w:pPr>
            <w:r>
              <w:rPr>
                <w:b/>
                <w:bCs/>
              </w:rPr>
              <w:t>Total (US$)</w:t>
            </w:r>
          </w:p>
        </w:tc>
      </w:tr>
      <w:tr w:rsidR="000B425A" w:rsidRPr="00527520" w14:paraId="78F70F30" w14:textId="519DB126" w:rsidTr="00133AEC">
        <w:trPr>
          <w:trHeight w:val="366"/>
          <w:jc w:val="center"/>
        </w:trPr>
        <w:tc>
          <w:tcPr>
            <w:tcW w:w="2082" w:type="dxa"/>
          </w:tcPr>
          <w:p w14:paraId="1E2C7431" w14:textId="77777777" w:rsidR="000B425A" w:rsidRPr="00527520" w:rsidRDefault="000B425A" w:rsidP="00661B46">
            <w:r>
              <w:t>China</w:t>
            </w:r>
          </w:p>
        </w:tc>
        <w:tc>
          <w:tcPr>
            <w:tcW w:w="2087" w:type="dxa"/>
          </w:tcPr>
          <w:p w14:paraId="2A722B62" w14:textId="0EE77014" w:rsidR="000B425A" w:rsidRPr="00527520" w:rsidRDefault="000B425A" w:rsidP="00501D9D">
            <w:pPr>
              <w:jc w:val="right"/>
            </w:pPr>
            <w:r>
              <w:t>5%</w:t>
            </w:r>
          </w:p>
        </w:tc>
        <w:tc>
          <w:tcPr>
            <w:tcW w:w="2451" w:type="dxa"/>
          </w:tcPr>
          <w:p w14:paraId="66031EF3" w14:textId="23203A87" w:rsidR="000B425A" w:rsidRDefault="0087330E" w:rsidP="00501D9D">
            <w:pPr>
              <w:jc w:val="right"/>
            </w:pPr>
            <w:r>
              <w:t>3</w:t>
            </w:r>
            <w:r w:rsidR="000B425A">
              <w:t>%</w:t>
            </w:r>
          </w:p>
        </w:tc>
        <w:tc>
          <w:tcPr>
            <w:tcW w:w="2087" w:type="dxa"/>
          </w:tcPr>
          <w:p w14:paraId="29A1E0AA" w14:textId="26721A5F" w:rsidR="000B425A" w:rsidRDefault="0087330E" w:rsidP="00501D9D">
            <w:pPr>
              <w:jc w:val="right"/>
            </w:pPr>
            <w:r>
              <w:t>4</w:t>
            </w:r>
            <w:r w:rsidR="000B425A">
              <w:t>0,000</w:t>
            </w:r>
          </w:p>
        </w:tc>
      </w:tr>
      <w:tr w:rsidR="000B425A" w:rsidRPr="00527520" w14:paraId="14499959" w14:textId="423495C7" w:rsidTr="00133AEC">
        <w:trPr>
          <w:trHeight w:val="388"/>
          <w:jc w:val="center"/>
        </w:trPr>
        <w:tc>
          <w:tcPr>
            <w:tcW w:w="2082" w:type="dxa"/>
          </w:tcPr>
          <w:p w14:paraId="390E944E" w14:textId="77777777" w:rsidR="000B425A" w:rsidRPr="00527520" w:rsidRDefault="000B425A" w:rsidP="00661B46">
            <w:r>
              <w:t>Japan</w:t>
            </w:r>
          </w:p>
        </w:tc>
        <w:tc>
          <w:tcPr>
            <w:tcW w:w="2087" w:type="dxa"/>
          </w:tcPr>
          <w:p w14:paraId="7F5C5584" w14:textId="0C4BF84F" w:rsidR="000B425A" w:rsidRPr="00527520" w:rsidRDefault="000B425A" w:rsidP="00501D9D">
            <w:pPr>
              <w:jc w:val="right"/>
            </w:pPr>
            <w:r>
              <w:t>5%</w:t>
            </w:r>
          </w:p>
        </w:tc>
        <w:tc>
          <w:tcPr>
            <w:tcW w:w="2451" w:type="dxa"/>
          </w:tcPr>
          <w:p w14:paraId="17A124CB" w14:textId="1863832F" w:rsidR="000B425A" w:rsidRDefault="000B425A" w:rsidP="00501D9D">
            <w:pPr>
              <w:jc w:val="right"/>
            </w:pPr>
            <w:r>
              <w:t>20%</w:t>
            </w:r>
          </w:p>
        </w:tc>
        <w:tc>
          <w:tcPr>
            <w:tcW w:w="2087" w:type="dxa"/>
          </w:tcPr>
          <w:p w14:paraId="7662B9B9" w14:textId="726C4AFC" w:rsidR="000B425A" w:rsidRDefault="000B425A" w:rsidP="00501D9D">
            <w:pPr>
              <w:jc w:val="right"/>
            </w:pPr>
            <w:r>
              <w:t>125,000</w:t>
            </w:r>
          </w:p>
        </w:tc>
      </w:tr>
      <w:tr w:rsidR="000B425A" w:rsidRPr="00527520" w14:paraId="5BD6AE99" w14:textId="447BE485" w:rsidTr="00133AEC">
        <w:trPr>
          <w:trHeight w:val="366"/>
          <w:jc w:val="center"/>
        </w:trPr>
        <w:tc>
          <w:tcPr>
            <w:tcW w:w="2082" w:type="dxa"/>
          </w:tcPr>
          <w:p w14:paraId="668CB07D" w14:textId="77777777" w:rsidR="000B425A" w:rsidRPr="00527520" w:rsidRDefault="000B425A" w:rsidP="00661B46">
            <w:r>
              <w:t>Republic of Korea</w:t>
            </w:r>
          </w:p>
        </w:tc>
        <w:tc>
          <w:tcPr>
            <w:tcW w:w="2087" w:type="dxa"/>
          </w:tcPr>
          <w:p w14:paraId="3E5B9E5A" w14:textId="5C5FD3B8" w:rsidR="000B425A" w:rsidRPr="00527520" w:rsidRDefault="000B425A" w:rsidP="00501D9D">
            <w:pPr>
              <w:jc w:val="right"/>
            </w:pPr>
            <w:r>
              <w:t>5%</w:t>
            </w:r>
          </w:p>
        </w:tc>
        <w:tc>
          <w:tcPr>
            <w:tcW w:w="2451" w:type="dxa"/>
          </w:tcPr>
          <w:p w14:paraId="413965F7" w14:textId="7675721E" w:rsidR="000B425A" w:rsidRDefault="000B425A" w:rsidP="00501D9D">
            <w:pPr>
              <w:jc w:val="right"/>
            </w:pPr>
            <w:r>
              <w:t>15%</w:t>
            </w:r>
          </w:p>
        </w:tc>
        <w:tc>
          <w:tcPr>
            <w:tcW w:w="2087" w:type="dxa"/>
          </w:tcPr>
          <w:p w14:paraId="5FFA94F6" w14:textId="592276E1" w:rsidR="000B425A" w:rsidRDefault="000B425A" w:rsidP="00501D9D">
            <w:pPr>
              <w:jc w:val="right"/>
            </w:pPr>
            <w:r>
              <w:t>100,000</w:t>
            </w:r>
          </w:p>
        </w:tc>
      </w:tr>
      <w:tr w:rsidR="000B425A" w:rsidRPr="00527520" w14:paraId="5022AC90" w14:textId="2B31889F" w:rsidTr="00133AEC">
        <w:trPr>
          <w:trHeight w:val="388"/>
          <w:jc w:val="center"/>
        </w:trPr>
        <w:tc>
          <w:tcPr>
            <w:tcW w:w="2082" w:type="dxa"/>
          </w:tcPr>
          <w:p w14:paraId="55F4FD7F" w14:textId="77777777" w:rsidR="000B425A" w:rsidRPr="00527520" w:rsidRDefault="000B425A" w:rsidP="00661B46">
            <w:r>
              <w:t>Russian Federation</w:t>
            </w:r>
          </w:p>
        </w:tc>
        <w:tc>
          <w:tcPr>
            <w:tcW w:w="2087" w:type="dxa"/>
          </w:tcPr>
          <w:p w14:paraId="32ADC9C7" w14:textId="2C240F46" w:rsidR="000B425A" w:rsidRPr="00527520" w:rsidRDefault="000B425A" w:rsidP="00501D9D">
            <w:pPr>
              <w:jc w:val="right"/>
            </w:pPr>
            <w:r>
              <w:t>5%</w:t>
            </w:r>
          </w:p>
        </w:tc>
        <w:tc>
          <w:tcPr>
            <w:tcW w:w="2451" w:type="dxa"/>
          </w:tcPr>
          <w:p w14:paraId="54787FA8" w14:textId="4B67A1A4" w:rsidR="000B425A" w:rsidRDefault="000B425A" w:rsidP="00501D9D">
            <w:pPr>
              <w:jc w:val="right"/>
            </w:pPr>
            <w:r>
              <w:t>5%</w:t>
            </w:r>
          </w:p>
        </w:tc>
        <w:tc>
          <w:tcPr>
            <w:tcW w:w="2087" w:type="dxa"/>
          </w:tcPr>
          <w:p w14:paraId="2652FAC7" w14:textId="23D74CE5" w:rsidR="000B425A" w:rsidRDefault="000B425A" w:rsidP="00501D9D">
            <w:pPr>
              <w:jc w:val="right"/>
            </w:pPr>
            <w:r>
              <w:t>50,000</w:t>
            </w:r>
          </w:p>
        </w:tc>
      </w:tr>
      <w:tr w:rsidR="000B425A" w:rsidRPr="00527520" w14:paraId="4F1424E5" w14:textId="586B74EA" w:rsidTr="00133AEC">
        <w:trPr>
          <w:trHeight w:val="366"/>
          <w:jc w:val="center"/>
        </w:trPr>
        <w:tc>
          <w:tcPr>
            <w:tcW w:w="2082" w:type="dxa"/>
          </w:tcPr>
          <w:p w14:paraId="5D42DEE9" w14:textId="77777777" w:rsidR="000B425A" w:rsidRPr="00527520" w:rsidRDefault="000B425A" w:rsidP="00661B46">
            <w:pPr>
              <w:rPr>
                <w:b/>
                <w:bCs/>
              </w:rPr>
            </w:pPr>
            <w:r w:rsidRPr="00527520">
              <w:rPr>
                <w:b/>
                <w:bCs/>
              </w:rPr>
              <w:t>TOTAL</w:t>
            </w:r>
          </w:p>
        </w:tc>
        <w:tc>
          <w:tcPr>
            <w:tcW w:w="2087" w:type="dxa"/>
          </w:tcPr>
          <w:p w14:paraId="696E7F3D" w14:textId="008994BD" w:rsidR="000B425A" w:rsidRPr="00527520" w:rsidRDefault="000B425A" w:rsidP="00501D9D">
            <w:pPr>
              <w:jc w:val="right"/>
              <w:rPr>
                <w:b/>
                <w:bCs/>
              </w:rPr>
            </w:pPr>
            <w:r>
              <w:rPr>
                <w:b/>
                <w:bCs/>
              </w:rPr>
              <w:t>20%</w:t>
            </w:r>
          </w:p>
        </w:tc>
        <w:tc>
          <w:tcPr>
            <w:tcW w:w="2451" w:type="dxa"/>
          </w:tcPr>
          <w:p w14:paraId="28F302A6" w14:textId="026A7360" w:rsidR="000B425A" w:rsidRPr="00527520" w:rsidRDefault="000B425A" w:rsidP="00501D9D">
            <w:pPr>
              <w:jc w:val="right"/>
              <w:rPr>
                <w:b/>
                <w:bCs/>
              </w:rPr>
            </w:pPr>
            <w:r>
              <w:rPr>
                <w:b/>
                <w:bCs/>
              </w:rPr>
              <w:t>4</w:t>
            </w:r>
            <w:r w:rsidR="0087330E">
              <w:rPr>
                <w:b/>
                <w:bCs/>
              </w:rPr>
              <w:t>3</w:t>
            </w:r>
            <w:r>
              <w:rPr>
                <w:b/>
                <w:bCs/>
              </w:rPr>
              <w:t>%</w:t>
            </w:r>
          </w:p>
        </w:tc>
        <w:tc>
          <w:tcPr>
            <w:tcW w:w="2087" w:type="dxa"/>
          </w:tcPr>
          <w:p w14:paraId="2D711FEF" w14:textId="48D8DA94" w:rsidR="000B425A" w:rsidRPr="00527520" w:rsidRDefault="000B425A" w:rsidP="00501D9D">
            <w:pPr>
              <w:jc w:val="right"/>
              <w:rPr>
                <w:b/>
                <w:bCs/>
              </w:rPr>
            </w:pPr>
            <w:r>
              <w:rPr>
                <w:b/>
                <w:bCs/>
              </w:rPr>
              <w:t>3</w:t>
            </w:r>
            <w:r w:rsidR="0087330E">
              <w:rPr>
                <w:b/>
                <w:bCs/>
              </w:rPr>
              <w:t>1</w:t>
            </w:r>
            <w:r>
              <w:rPr>
                <w:b/>
                <w:bCs/>
              </w:rPr>
              <w:t>5,000</w:t>
            </w:r>
          </w:p>
        </w:tc>
      </w:tr>
      <w:tr w:rsidR="0005505A" w:rsidRPr="00527520" w14:paraId="734D73C0" w14:textId="77777777" w:rsidTr="00133AEC">
        <w:trPr>
          <w:trHeight w:val="366"/>
          <w:jc w:val="center"/>
        </w:trPr>
        <w:tc>
          <w:tcPr>
            <w:tcW w:w="8709" w:type="dxa"/>
            <w:gridSpan w:val="4"/>
            <w:vAlign w:val="center"/>
          </w:tcPr>
          <w:p w14:paraId="36C65F94" w14:textId="19913E47" w:rsidR="0005505A" w:rsidRPr="00143DC7" w:rsidRDefault="0005505A" w:rsidP="0005505A">
            <w:pPr>
              <w:rPr>
                <w:sz w:val="20"/>
                <w:szCs w:val="20"/>
              </w:rPr>
            </w:pPr>
            <w:r w:rsidRPr="00143DC7">
              <w:rPr>
                <w:sz w:val="20"/>
                <w:szCs w:val="20"/>
              </w:rPr>
              <w:t xml:space="preserve">Note: A </w:t>
            </w:r>
            <w:r>
              <w:rPr>
                <w:sz w:val="20"/>
                <w:szCs w:val="20"/>
              </w:rPr>
              <w:t>target</w:t>
            </w:r>
            <w:r w:rsidR="0087330E">
              <w:rPr>
                <w:sz w:val="20"/>
                <w:szCs w:val="20"/>
              </w:rPr>
              <w:t>ed</w:t>
            </w:r>
            <w:r>
              <w:rPr>
                <w:sz w:val="20"/>
                <w:szCs w:val="20"/>
              </w:rPr>
              <w:t xml:space="preserve"> annual contribution to the Trust Fund </w:t>
            </w:r>
            <w:r w:rsidR="0022771E">
              <w:rPr>
                <w:sz w:val="20"/>
                <w:szCs w:val="20"/>
              </w:rPr>
              <w:t>was</w:t>
            </w:r>
            <w:r>
              <w:rPr>
                <w:sz w:val="20"/>
                <w:szCs w:val="20"/>
              </w:rPr>
              <w:t xml:space="preserve"> set as </w:t>
            </w:r>
            <w:r w:rsidRPr="00143DC7">
              <w:rPr>
                <w:sz w:val="20"/>
                <w:szCs w:val="20"/>
              </w:rPr>
              <w:t>US$</w:t>
            </w:r>
            <w:r w:rsidR="003D6340">
              <w:rPr>
                <w:sz w:val="20"/>
                <w:szCs w:val="20"/>
              </w:rPr>
              <w:t xml:space="preserve"> </w:t>
            </w:r>
            <w:r w:rsidRPr="00143DC7">
              <w:rPr>
                <w:sz w:val="20"/>
                <w:szCs w:val="20"/>
              </w:rPr>
              <w:t xml:space="preserve">500,000. </w:t>
            </w:r>
          </w:p>
        </w:tc>
      </w:tr>
    </w:tbl>
    <w:p w14:paraId="4BCCD02F" w14:textId="3D78D259" w:rsidR="00501D9D" w:rsidRDefault="00501D9D" w:rsidP="00501D9D">
      <w:pPr>
        <w:rPr>
          <w:rFonts w:ascii="Calibri" w:hAnsi="Calibri" w:cs="Calibri"/>
          <w:color w:val="000000" w:themeColor="text1"/>
          <w:sz w:val="18"/>
          <w:szCs w:val="18"/>
        </w:rPr>
      </w:pPr>
      <w:r>
        <w:rPr>
          <w:rFonts w:ascii="Calibri" w:hAnsi="Calibri" w:cs="Calibri"/>
          <w:color w:val="000000" w:themeColor="text1"/>
          <w:sz w:val="18"/>
          <w:szCs w:val="18"/>
        </w:rPr>
        <w:t xml:space="preserve">         </w:t>
      </w:r>
      <w:r w:rsidR="006B5910" w:rsidRPr="00143DC7">
        <w:rPr>
          <w:rFonts w:ascii="Calibri" w:hAnsi="Calibri" w:cs="Calibri"/>
          <w:color w:val="000000" w:themeColor="text1"/>
          <w:sz w:val="18"/>
          <w:szCs w:val="18"/>
        </w:rPr>
        <w:t xml:space="preserve">Source: </w:t>
      </w:r>
      <w:r w:rsidR="0087330E">
        <w:rPr>
          <w:rFonts w:ascii="Calibri" w:hAnsi="Calibri" w:cs="Calibri"/>
          <w:color w:val="000000" w:themeColor="text1"/>
          <w:sz w:val="18"/>
          <w:szCs w:val="18"/>
        </w:rPr>
        <w:t>Report of the Meeting, Second IGM on NOWPAP, 1996</w:t>
      </w:r>
    </w:p>
    <w:p w14:paraId="47FA023F" w14:textId="79DD829C" w:rsidR="00C016C2" w:rsidRPr="00C016C2" w:rsidRDefault="000659C4" w:rsidP="00C016C2">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Pr>
          <w:rFonts w:ascii="Book Antiqua" w:hAnsi="Book Antiqua"/>
          <w:color w:val="000000" w:themeColor="text1"/>
        </w:rPr>
        <w:t xml:space="preserve">Since then, member States had revisited the contribution scale and also voluntarily increased the </w:t>
      </w:r>
      <w:r w:rsidR="00E7775D">
        <w:rPr>
          <w:rFonts w:ascii="Book Antiqua" w:hAnsi="Book Antiqua"/>
          <w:color w:val="000000" w:themeColor="text1"/>
        </w:rPr>
        <w:t xml:space="preserve">scale </w:t>
      </w:r>
      <w:r>
        <w:rPr>
          <w:rFonts w:ascii="Book Antiqua" w:hAnsi="Book Antiqua"/>
          <w:color w:val="000000" w:themeColor="text1"/>
        </w:rPr>
        <w:t>of contributions.</w:t>
      </w:r>
      <w:r w:rsidR="0005505A">
        <w:rPr>
          <w:rFonts w:ascii="Book Antiqua" w:hAnsi="Book Antiqua"/>
          <w:color w:val="000000" w:themeColor="text1"/>
        </w:rPr>
        <w:t xml:space="preserve"> </w:t>
      </w:r>
      <w:r>
        <w:rPr>
          <w:rFonts w:ascii="Book Antiqua" w:hAnsi="Book Antiqua"/>
          <w:color w:val="000000" w:themeColor="text1"/>
        </w:rPr>
        <w:t>T</w:t>
      </w:r>
      <w:r w:rsidR="0005505A">
        <w:rPr>
          <w:rFonts w:ascii="Book Antiqua" w:hAnsi="Book Antiqua"/>
          <w:color w:val="000000" w:themeColor="text1"/>
        </w:rPr>
        <w:t>he Trust Fund first met the target</w:t>
      </w:r>
      <w:r>
        <w:rPr>
          <w:rFonts w:ascii="Book Antiqua" w:hAnsi="Book Antiqua"/>
          <w:color w:val="000000" w:themeColor="text1"/>
        </w:rPr>
        <w:t>ed</w:t>
      </w:r>
      <w:r w:rsidR="0005505A">
        <w:rPr>
          <w:rFonts w:ascii="Book Antiqua" w:hAnsi="Book Antiqua"/>
          <w:color w:val="000000" w:themeColor="text1"/>
        </w:rPr>
        <w:t xml:space="preserve"> annual contribution</w:t>
      </w:r>
      <w:r w:rsidR="009C5629">
        <w:rPr>
          <w:rFonts w:ascii="Book Antiqua" w:hAnsi="Book Antiqua"/>
          <w:color w:val="000000" w:themeColor="text1"/>
        </w:rPr>
        <w:t xml:space="preserve">, </w:t>
      </w:r>
      <w:r w:rsidR="008134B2">
        <w:rPr>
          <w:rFonts w:ascii="Book Antiqua" w:hAnsi="Book Antiqua"/>
          <w:color w:val="000000" w:themeColor="text1"/>
        </w:rPr>
        <w:t>US</w:t>
      </w:r>
      <w:r w:rsidR="009C5629">
        <w:rPr>
          <w:rFonts w:ascii="Book Antiqua" w:hAnsi="Book Antiqua"/>
          <w:color w:val="000000" w:themeColor="text1"/>
        </w:rPr>
        <w:t>$</w:t>
      </w:r>
      <w:r w:rsidR="008134B2">
        <w:rPr>
          <w:rFonts w:ascii="Book Antiqua" w:hAnsi="Book Antiqua"/>
          <w:color w:val="000000" w:themeColor="text1"/>
        </w:rPr>
        <w:t xml:space="preserve"> </w:t>
      </w:r>
      <w:r w:rsidR="009C5629">
        <w:rPr>
          <w:rFonts w:ascii="Book Antiqua" w:hAnsi="Book Antiqua"/>
          <w:color w:val="000000" w:themeColor="text1"/>
        </w:rPr>
        <w:t>500,000</w:t>
      </w:r>
      <w:r w:rsidR="0005505A">
        <w:rPr>
          <w:rFonts w:ascii="Book Antiqua" w:hAnsi="Book Antiqua"/>
          <w:color w:val="000000" w:themeColor="text1"/>
        </w:rPr>
        <w:t xml:space="preserve"> in 2017 with equal contribution from all member States.</w:t>
      </w:r>
      <w:r w:rsidR="0005505A">
        <w:rPr>
          <w:rStyle w:val="FootnoteReference"/>
          <w:rFonts w:ascii="Book Antiqua" w:hAnsi="Book Antiqua"/>
          <w:color w:val="000000" w:themeColor="text1"/>
        </w:rPr>
        <w:footnoteReference w:id="6"/>
      </w:r>
      <w:r w:rsidR="0005505A">
        <w:rPr>
          <w:rFonts w:ascii="Book Antiqua" w:hAnsi="Book Antiqua"/>
          <w:color w:val="000000" w:themeColor="text1"/>
        </w:rPr>
        <w:t xml:space="preserve"> </w:t>
      </w:r>
    </w:p>
    <w:p w14:paraId="0D4C6D3F" w14:textId="6E2CA43F" w:rsidR="00532C39" w:rsidRPr="00527520" w:rsidRDefault="00532C39" w:rsidP="00501D9D">
      <w:pPr>
        <w:pStyle w:val="ListParagraph"/>
        <w:snapToGrid w:val="0"/>
        <w:spacing w:after="120" w:line="276" w:lineRule="auto"/>
        <w:ind w:left="0"/>
        <w:contextualSpacing w:val="0"/>
        <w:jc w:val="center"/>
        <w:rPr>
          <w:b/>
          <w:bCs/>
        </w:rPr>
      </w:pPr>
      <w:r w:rsidRPr="00527520">
        <w:rPr>
          <w:b/>
          <w:bCs/>
        </w:rPr>
        <w:t xml:space="preserve">Table </w:t>
      </w:r>
      <w:r w:rsidR="006C5EC0">
        <w:rPr>
          <w:b/>
          <w:bCs/>
        </w:rPr>
        <w:t>2</w:t>
      </w:r>
      <w:r w:rsidRPr="00527520">
        <w:rPr>
          <w:b/>
          <w:bCs/>
        </w:rPr>
        <w:t xml:space="preserve">. </w:t>
      </w:r>
      <w:r w:rsidR="000659C4">
        <w:rPr>
          <w:b/>
          <w:bCs/>
        </w:rPr>
        <w:t>Current s</w:t>
      </w:r>
      <w:r w:rsidRPr="00527520">
        <w:rPr>
          <w:b/>
          <w:bCs/>
        </w:rPr>
        <w:t xml:space="preserve">cale of </w:t>
      </w:r>
      <w:r w:rsidR="001A6246">
        <w:rPr>
          <w:b/>
          <w:bCs/>
        </w:rPr>
        <w:t xml:space="preserve">annual </w:t>
      </w:r>
      <w:r w:rsidRPr="00527520">
        <w:rPr>
          <w:b/>
          <w:bCs/>
        </w:rPr>
        <w:t xml:space="preserve">contributions to </w:t>
      </w:r>
      <w:r w:rsidR="000659C4">
        <w:rPr>
          <w:b/>
          <w:bCs/>
        </w:rPr>
        <w:t xml:space="preserve">the </w:t>
      </w:r>
      <w:r w:rsidRPr="00527520">
        <w:rPr>
          <w:b/>
          <w:bCs/>
        </w:rPr>
        <w:t>NOWPAP Trust Fund</w:t>
      </w:r>
    </w:p>
    <w:tbl>
      <w:tblPr>
        <w:tblStyle w:val="TableGrid"/>
        <w:tblW w:w="0" w:type="auto"/>
        <w:jc w:val="center"/>
        <w:tblLook w:val="04A0" w:firstRow="1" w:lastRow="0" w:firstColumn="1" w:lastColumn="0" w:noHBand="0" w:noVBand="1"/>
      </w:tblPr>
      <w:tblGrid>
        <w:gridCol w:w="3683"/>
        <w:gridCol w:w="3786"/>
      </w:tblGrid>
      <w:tr w:rsidR="00532C39" w14:paraId="184147EF" w14:textId="77777777" w:rsidTr="00133AEC">
        <w:trPr>
          <w:trHeight w:val="399"/>
          <w:jc w:val="center"/>
        </w:trPr>
        <w:tc>
          <w:tcPr>
            <w:tcW w:w="3683" w:type="dxa"/>
          </w:tcPr>
          <w:p w14:paraId="4807C84D" w14:textId="77777777" w:rsidR="00532C39" w:rsidRPr="00527520" w:rsidRDefault="00532C39" w:rsidP="00661B46">
            <w:pPr>
              <w:rPr>
                <w:b/>
                <w:bCs/>
              </w:rPr>
            </w:pPr>
            <w:r w:rsidRPr="00527520">
              <w:rPr>
                <w:b/>
                <w:bCs/>
              </w:rPr>
              <w:t>Country</w:t>
            </w:r>
          </w:p>
        </w:tc>
        <w:tc>
          <w:tcPr>
            <w:tcW w:w="3786" w:type="dxa"/>
          </w:tcPr>
          <w:p w14:paraId="6D9C1793" w14:textId="77777777" w:rsidR="00532C39" w:rsidRPr="00527520" w:rsidRDefault="00532C39" w:rsidP="00501D9D">
            <w:pPr>
              <w:jc w:val="right"/>
              <w:rPr>
                <w:b/>
                <w:bCs/>
              </w:rPr>
            </w:pPr>
            <w:r w:rsidRPr="00527520">
              <w:rPr>
                <w:b/>
                <w:bCs/>
              </w:rPr>
              <w:t>Annual contribution (US$)</w:t>
            </w:r>
          </w:p>
        </w:tc>
      </w:tr>
      <w:tr w:rsidR="00532C39" w14:paraId="46652255" w14:textId="77777777" w:rsidTr="00133AEC">
        <w:trPr>
          <w:trHeight w:val="377"/>
          <w:jc w:val="center"/>
        </w:trPr>
        <w:tc>
          <w:tcPr>
            <w:tcW w:w="3683" w:type="dxa"/>
          </w:tcPr>
          <w:p w14:paraId="1B715419" w14:textId="77777777" w:rsidR="00532C39" w:rsidRPr="00527520" w:rsidRDefault="00532C39" w:rsidP="00661B46">
            <w:r>
              <w:t>China</w:t>
            </w:r>
          </w:p>
        </w:tc>
        <w:tc>
          <w:tcPr>
            <w:tcW w:w="3786" w:type="dxa"/>
          </w:tcPr>
          <w:p w14:paraId="65B4065E" w14:textId="77777777" w:rsidR="00532C39" w:rsidRPr="00527520" w:rsidRDefault="00532C39" w:rsidP="00501D9D">
            <w:pPr>
              <w:jc w:val="right"/>
            </w:pPr>
            <w:r>
              <w:t>125,000</w:t>
            </w:r>
          </w:p>
        </w:tc>
      </w:tr>
      <w:tr w:rsidR="00532C39" w14:paraId="0865A54E" w14:textId="77777777" w:rsidTr="00133AEC">
        <w:trPr>
          <w:trHeight w:val="399"/>
          <w:jc w:val="center"/>
        </w:trPr>
        <w:tc>
          <w:tcPr>
            <w:tcW w:w="3683" w:type="dxa"/>
          </w:tcPr>
          <w:p w14:paraId="30E2FD15" w14:textId="77777777" w:rsidR="00532C39" w:rsidRPr="00527520" w:rsidRDefault="00532C39" w:rsidP="00661B46">
            <w:r>
              <w:t>Japan</w:t>
            </w:r>
          </w:p>
        </w:tc>
        <w:tc>
          <w:tcPr>
            <w:tcW w:w="3786" w:type="dxa"/>
          </w:tcPr>
          <w:p w14:paraId="0F13DF2E" w14:textId="77777777" w:rsidR="00532C39" w:rsidRPr="00527520" w:rsidRDefault="00532C39" w:rsidP="00501D9D">
            <w:pPr>
              <w:jc w:val="right"/>
            </w:pPr>
            <w:r>
              <w:t>125,000</w:t>
            </w:r>
          </w:p>
        </w:tc>
      </w:tr>
      <w:tr w:rsidR="00532C39" w14:paraId="47350EE9" w14:textId="77777777" w:rsidTr="00133AEC">
        <w:trPr>
          <w:trHeight w:val="377"/>
          <w:jc w:val="center"/>
        </w:trPr>
        <w:tc>
          <w:tcPr>
            <w:tcW w:w="3683" w:type="dxa"/>
          </w:tcPr>
          <w:p w14:paraId="3E8360A7" w14:textId="77777777" w:rsidR="00532C39" w:rsidRPr="00527520" w:rsidRDefault="00532C39" w:rsidP="00661B46">
            <w:r>
              <w:t>Republic of Korea</w:t>
            </w:r>
          </w:p>
        </w:tc>
        <w:tc>
          <w:tcPr>
            <w:tcW w:w="3786" w:type="dxa"/>
          </w:tcPr>
          <w:p w14:paraId="511FACCD" w14:textId="77777777" w:rsidR="00532C39" w:rsidRPr="00527520" w:rsidRDefault="00532C39" w:rsidP="00501D9D">
            <w:pPr>
              <w:jc w:val="right"/>
            </w:pPr>
            <w:r>
              <w:t>125,000</w:t>
            </w:r>
          </w:p>
        </w:tc>
      </w:tr>
      <w:tr w:rsidR="00532C39" w14:paraId="53B784C9" w14:textId="77777777" w:rsidTr="00133AEC">
        <w:trPr>
          <w:trHeight w:val="399"/>
          <w:jc w:val="center"/>
        </w:trPr>
        <w:tc>
          <w:tcPr>
            <w:tcW w:w="3683" w:type="dxa"/>
          </w:tcPr>
          <w:p w14:paraId="5989E3B3" w14:textId="77777777" w:rsidR="00532C39" w:rsidRPr="00527520" w:rsidRDefault="00532C39" w:rsidP="00661B46">
            <w:r>
              <w:t>Russian Federation</w:t>
            </w:r>
          </w:p>
        </w:tc>
        <w:tc>
          <w:tcPr>
            <w:tcW w:w="3786" w:type="dxa"/>
          </w:tcPr>
          <w:p w14:paraId="19F128D0" w14:textId="77777777" w:rsidR="00532C39" w:rsidRPr="00527520" w:rsidRDefault="00532C39" w:rsidP="00501D9D">
            <w:pPr>
              <w:jc w:val="right"/>
            </w:pPr>
            <w:r>
              <w:t>125,000</w:t>
            </w:r>
          </w:p>
        </w:tc>
      </w:tr>
      <w:tr w:rsidR="00532C39" w14:paraId="43D86F4B" w14:textId="77777777" w:rsidTr="00133AEC">
        <w:trPr>
          <w:trHeight w:val="377"/>
          <w:jc w:val="center"/>
        </w:trPr>
        <w:tc>
          <w:tcPr>
            <w:tcW w:w="3683" w:type="dxa"/>
          </w:tcPr>
          <w:p w14:paraId="426DE8F6" w14:textId="77777777" w:rsidR="00532C39" w:rsidRPr="00527520" w:rsidRDefault="00532C39" w:rsidP="00661B46">
            <w:pPr>
              <w:rPr>
                <w:b/>
                <w:bCs/>
              </w:rPr>
            </w:pPr>
            <w:r w:rsidRPr="00527520">
              <w:rPr>
                <w:b/>
                <w:bCs/>
              </w:rPr>
              <w:t>TOTAL</w:t>
            </w:r>
          </w:p>
        </w:tc>
        <w:tc>
          <w:tcPr>
            <w:tcW w:w="3786" w:type="dxa"/>
          </w:tcPr>
          <w:p w14:paraId="0D8F0C52" w14:textId="77777777" w:rsidR="00532C39" w:rsidRPr="00527520" w:rsidRDefault="00532C39" w:rsidP="00501D9D">
            <w:pPr>
              <w:jc w:val="right"/>
              <w:rPr>
                <w:b/>
                <w:bCs/>
              </w:rPr>
            </w:pPr>
            <w:r w:rsidRPr="00527520">
              <w:rPr>
                <w:b/>
                <w:bCs/>
              </w:rPr>
              <w:t>500,000</w:t>
            </w:r>
          </w:p>
        </w:tc>
      </w:tr>
    </w:tbl>
    <w:p w14:paraId="244419F8" w14:textId="2340ABDF" w:rsidR="008335F1" w:rsidRDefault="00501D9D" w:rsidP="00143DC7">
      <w:r>
        <w:rPr>
          <w:rFonts w:ascii="Calibri" w:hAnsi="Calibri" w:cs="Calibri"/>
          <w:color w:val="000000" w:themeColor="text1"/>
          <w:sz w:val="18"/>
          <w:szCs w:val="18"/>
        </w:rPr>
        <w:t xml:space="preserve">                          </w:t>
      </w:r>
      <w:r w:rsidR="00532C39" w:rsidRPr="00143DC7">
        <w:rPr>
          <w:rFonts w:ascii="Calibri" w:hAnsi="Calibri" w:cs="Calibri"/>
          <w:color w:val="000000" w:themeColor="text1"/>
          <w:sz w:val="18"/>
          <w:szCs w:val="18"/>
        </w:rPr>
        <w:t xml:space="preserve">Source: </w:t>
      </w:r>
      <w:r w:rsidR="000659C4">
        <w:rPr>
          <w:rFonts w:ascii="Calibri" w:hAnsi="Calibri" w:cs="Calibri"/>
          <w:color w:val="000000" w:themeColor="text1"/>
          <w:sz w:val="18"/>
          <w:szCs w:val="18"/>
        </w:rPr>
        <w:t>Report of the Meeting, 22</w:t>
      </w:r>
      <w:r w:rsidR="000659C4" w:rsidRPr="00F16DEF">
        <w:rPr>
          <w:rFonts w:ascii="Calibri" w:hAnsi="Calibri" w:cs="Calibri"/>
          <w:color w:val="000000" w:themeColor="text1"/>
          <w:sz w:val="18"/>
          <w:szCs w:val="18"/>
          <w:vertAlign w:val="superscript"/>
        </w:rPr>
        <w:t>nd</w:t>
      </w:r>
      <w:r w:rsidR="000659C4">
        <w:rPr>
          <w:rFonts w:ascii="Calibri" w:hAnsi="Calibri" w:cs="Calibri"/>
          <w:color w:val="000000" w:themeColor="text1"/>
          <w:sz w:val="18"/>
          <w:szCs w:val="18"/>
        </w:rPr>
        <w:t xml:space="preserve"> IGM on NOWPAP, 2017 </w:t>
      </w:r>
    </w:p>
    <w:p w14:paraId="0367080F" w14:textId="77777777" w:rsidR="00CC65F3" w:rsidRDefault="00CC65F3" w:rsidP="00143DC7">
      <w:pPr>
        <w:pStyle w:val="ListParagraph"/>
        <w:snapToGrid w:val="0"/>
        <w:spacing w:after="120" w:line="276" w:lineRule="auto"/>
        <w:ind w:left="0"/>
        <w:contextualSpacing w:val="0"/>
        <w:jc w:val="both"/>
        <w:rPr>
          <w:rFonts w:ascii="Book Antiqua" w:hAnsi="Book Antiqua"/>
          <w:b/>
          <w:bCs/>
          <w:i/>
          <w:iCs/>
          <w:color w:val="000000" w:themeColor="text1"/>
          <w:u w:val="single"/>
        </w:rPr>
      </w:pPr>
    </w:p>
    <w:p w14:paraId="12FEF30B" w14:textId="3F3F8891" w:rsidR="00D53B44" w:rsidRPr="00DF4D14" w:rsidRDefault="00D53B44" w:rsidP="00143DC7">
      <w:pPr>
        <w:pStyle w:val="ListParagraph"/>
        <w:snapToGrid w:val="0"/>
        <w:spacing w:after="120" w:line="276" w:lineRule="auto"/>
        <w:ind w:left="0"/>
        <w:contextualSpacing w:val="0"/>
        <w:jc w:val="both"/>
        <w:rPr>
          <w:rFonts w:ascii="Book Antiqua" w:hAnsi="Book Antiqua"/>
          <w:b/>
          <w:bCs/>
          <w:i/>
          <w:iCs/>
          <w:color w:val="000000" w:themeColor="text1"/>
          <w:u w:val="single"/>
        </w:rPr>
      </w:pPr>
      <w:r w:rsidRPr="00DF4D14">
        <w:rPr>
          <w:rFonts w:ascii="Book Antiqua" w:hAnsi="Book Antiqua"/>
          <w:b/>
          <w:bCs/>
          <w:i/>
          <w:iCs/>
          <w:color w:val="000000" w:themeColor="text1"/>
          <w:u w:val="single"/>
        </w:rPr>
        <w:lastRenderedPageBreak/>
        <w:t>South Asia Cooperative Environment Programme (SACEP)</w:t>
      </w:r>
    </w:p>
    <w:p w14:paraId="00546998" w14:textId="6A23DEA1" w:rsidR="0080037F" w:rsidRDefault="0080037F" w:rsidP="00BB0233">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Pr>
          <w:rFonts w:ascii="Book Antiqua" w:hAnsi="Book Antiqua"/>
          <w:color w:val="000000" w:themeColor="text1"/>
        </w:rPr>
        <w:t>SACEP</w:t>
      </w:r>
      <w:r w:rsidR="00383E10">
        <w:rPr>
          <w:rFonts w:ascii="Book Antiqua" w:hAnsi="Book Antiqua"/>
          <w:color w:val="000000" w:themeColor="text1"/>
        </w:rPr>
        <w:t>, which was</w:t>
      </w:r>
      <w:r>
        <w:rPr>
          <w:rFonts w:ascii="Book Antiqua" w:hAnsi="Book Antiqua"/>
          <w:color w:val="000000" w:themeColor="text1"/>
        </w:rPr>
        <w:t xml:space="preserve"> established in 1982</w:t>
      </w:r>
      <w:r w:rsidR="00383E10">
        <w:rPr>
          <w:rFonts w:ascii="Book Antiqua" w:hAnsi="Book Antiqua"/>
          <w:color w:val="000000" w:themeColor="text1"/>
        </w:rPr>
        <w:t>,</w:t>
      </w:r>
      <w:r w:rsidR="00A4387B">
        <w:rPr>
          <w:rFonts w:ascii="Book Antiqua" w:hAnsi="Book Antiqua"/>
          <w:color w:val="000000" w:themeColor="text1"/>
        </w:rPr>
        <w:t xml:space="preserve"> comprises</w:t>
      </w:r>
      <w:r w:rsidR="004E2186">
        <w:rPr>
          <w:rFonts w:ascii="Book Antiqua" w:hAnsi="Book Antiqua"/>
          <w:color w:val="000000" w:themeColor="text1"/>
        </w:rPr>
        <w:t xml:space="preserve"> </w:t>
      </w:r>
      <w:r>
        <w:rPr>
          <w:rFonts w:ascii="Book Antiqua" w:hAnsi="Book Antiqua"/>
          <w:color w:val="000000" w:themeColor="text1"/>
        </w:rPr>
        <w:t>Afghanistan, Bangladesh, Bhutan, India, Maldives, Nepal, Pakistan</w:t>
      </w:r>
      <w:r w:rsidR="00501D9D">
        <w:rPr>
          <w:rFonts w:ascii="Book Antiqua" w:hAnsi="Book Antiqua"/>
          <w:color w:val="000000" w:themeColor="text1"/>
        </w:rPr>
        <w:t>,</w:t>
      </w:r>
      <w:r>
        <w:rPr>
          <w:rFonts w:ascii="Book Antiqua" w:hAnsi="Book Antiqua"/>
          <w:color w:val="000000" w:themeColor="text1"/>
        </w:rPr>
        <w:t xml:space="preserve"> and Sri Lanka. </w:t>
      </w:r>
      <w:r w:rsidR="004E2186">
        <w:rPr>
          <w:rFonts w:ascii="Book Antiqua" w:hAnsi="Book Antiqua"/>
          <w:color w:val="000000" w:themeColor="text1"/>
        </w:rPr>
        <w:t>The</w:t>
      </w:r>
      <w:r w:rsidR="004202A5">
        <w:rPr>
          <w:rFonts w:ascii="Book Antiqua" w:hAnsi="Book Antiqua"/>
          <w:color w:val="000000" w:themeColor="text1"/>
        </w:rPr>
        <w:t xml:space="preserve"> work covers the post-2015 </w:t>
      </w:r>
      <w:r w:rsidR="00C316F5">
        <w:rPr>
          <w:rFonts w:ascii="Book Antiqua" w:hAnsi="Book Antiqua"/>
          <w:color w:val="000000" w:themeColor="text1"/>
        </w:rPr>
        <w:t xml:space="preserve">South Asia Development Agenda focusing on green economy, </w:t>
      </w:r>
      <w:r w:rsidR="00277B9E">
        <w:rPr>
          <w:rFonts w:ascii="Book Antiqua" w:hAnsi="Book Antiqua"/>
          <w:color w:val="000000" w:themeColor="text1"/>
        </w:rPr>
        <w:t>biodiversity, sustainable consumption and production, waste management, climate change, South Asia Seas Programme</w:t>
      </w:r>
      <w:r w:rsidR="00FA4F04">
        <w:rPr>
          <w:rFonts w:ascii="Book Antiqua" w:hAnsi="Book Antiqua"/>
          <w:color w:val="000000" w:themeColor="text1"/>
        </w:rPr>
        <w:t xml:space="preserve">, and Plastic free rivers and seas. </w:t>
      </w:r>
    </w:p>
    <w:p w14:paraId="296809D4" w14:textId="4A44FB3C" w:rsidR="00EB3915" w:rsidRPr="000749C9" w:rsidRDefault="00EB3915" w:rsidP="00BB0233">
      <w:pPr>
        <w:pStyle w:val="ListParagraph"/>
        <w:numPr>
          <w:ilvl w:val="0"/>
          <w:numId w:val="2"/>
        </w:numPr>
        <w:snapToGrid w:val="0"/>
        <w:spacing w:after="0" w:line="276" w:lineRule="auto"/>
        <w:ind w:left="0" w:firstLine="0"/>
        <w:contextualSpacing w:val="0"/>
        <w:jc w:val="both"/>
        <w:rPr>
          <w:rFonts w:ascii="Book Antiqua" w:hAnsi="Book Antiqua"/>
          <w:b/>
          <w:bCs/>
          <w:color w:val="000000" w:themeColor="text1"/>
          <w:u w:val="single"/>
        </w:rPr>
      </w:pPr>
      <w:r>
        <w:rPr>
          <w:rFonts w:ascii="Book Antiqua" w:hAnsi="Book Antiqua"/>
          <w:color w:val="000000" w:themeColor="text1"/>
        </w:rPr>
        <w:t xml:space="preserve">Financial resources of SACEP include annual contributions from all member </w:t>
      </w:r>
      <w:r w:rsidR="003167F0">
        <w:rPr>
          <w:rFonts w:ascii="Book Antiqua" w:hAnsi="Book Antiqua"/>
          <w:color w:val="000000" w:themeColor="text1"/>
        </w:rPr>
        <w:t xml:space="preserve">States </w:t>
      </w:r>
      <w:r>
        <w:rPr>
          <w:rFonts w:ascii="Book Antiqua" w:hAnsi="Book Antiqua"/>
          <w:color w:val="000000" w:themeColor="text1"/>
        </w:rPr>
        <w:t xml:space="preserve">on </w:t>
      </w:r>
    </w:p>
    <w:p w14:paraId="17F0EAD1" w14:textId="52736411" w:rsidR="00012127" w:rsidRDefault="000749C9" w:rsidP="00EB3915">
      <w:pPr>
        <w:pStyle w:val="ListParagraph"/>
        <w:snapToGrid w:val="0"/>
        <w:spacing w:after="120" w:line="276" w:lineRule="auto"/>
        <w:ind w:left="0"/>
        <w:contextualSpacing w:val="0"/>
        <w:jc w:val="both"/>
        <w:rPr>
          <w:rFonts w:ascii="Book Antiqua" w:hAnsi="Book Antiqua"/>
          <w:color w:val="000000" w:themeColor="text1"/>
        </w:rPr>
      </w:pPr>
      <w:r w:rsidRPr="000749C9">
        <w:rPr>
          <w:rFonts w:ascii="Book Antiqua" w:hAnsi="Book Antiqua"/>
          <w:b/>
          <w:bCs/>
          <w:color w:val="000000" w:themeColor="text1"/>
          <w:u w:val="single"/>
        </w:rPr>
        <w:t>an agreed scale of assessment</w:t>
      </w:r>
      <w:r w:rsidR="00EB3915">
        <w:rPr>
          <w:rStyle w:val="FootnoteReference"/>
          <w:rFonts w:ascii="Book Antiqua" w:hAnsi="Book Antiqua"/>
          <w:b/>
          <w:bCs/>
          <w:color w:val="000000" w:themeColor="text1"/>
          <w:u w:val="single"/>
        </w:rPr>
        <w:footnoteReference w:id="7"/>
      </w:r>
      <w:r w:rsidR="00F82C3A">
        <w:rPr>
          <w:rFonts w:ascii="Book Antiqua" w:hAnsi="Book Antiqua"/>
          <w:b/>
          <w:bCs/>
          <w:color w:val="000000" w:themeColor="text1"/>
          <w:u w:val="single"/>
        </w:rPr>
        <w:t>,</w:t>
      </w:r>
      <w:r w:rsidR="00F82C3A" w:rsidRPr="00F82C3A">
        <w:rPr>
          <w:rFonts w:ascii="Book Antiqua" w:hAnsi="Book Antiqua"/>
          <w:color w:val="000000" w:themeColor="text1"/>
        </w:rPr>
        <w:t xml:space="preserve"> which has been formulated and revised</w:t>
      </w:r>
      <w:r w:rsidR="00B80908" w:rsidRPr="00F82C3A">
        <w:rPr>
          <w:rFonts w:ascii="Book Antiqua" w:hAnsi="Book Antiqua"/>
          <w:color w:val="000000" w:themeColor="text1"/>
        </w:rPr>
        <w:t xml:space="preserve"> </w:t>
      </w:r>
      <w:r w:rsidR="00B80908">
        <w:rPr>
          <w:rFonts w:ascii="Book Antiqua" w:hAnsi="Book Antiqua"/>
          <w:color w:val="000000" w:themeColor="text1"/>
        </w:rPr>
        <w:t xml:space="preserve">according to </w:t>
      </w:r>
      <w:r w:rsidRPr="000749C9">
        <w:rPr>
          <w:rFonts w:ascii="Book Antiqua" w:hAnsi="Book Antiqua"/>
          <w:color w:val="000000" w:themeColor="text1"/>
        </w:rPr>
        <w:t>a combination of the South Asia Association of Regional Cooperation (SAARC) and the UN formula</w:t>
      </w:r>
      <w:r w:rsidR="004D648D">
        <w:rPr>
          <w:rFonts w:ascii="Book Antiqua" w:hAnsi="Book Antiqua"/>
          <w:color w:val="000000" w:themeColor="text1"/>
        </w:rPr>
        <w:t>s</w:t>
      </w:r>
      <w:r w:rsidRPr="000749C9">
        <w:rPr>
          <w:rFonts w:ascii="Book Antiqua" w:hAnsi="Book Antiqua"/>
          <w:color w:val="000000" w:themeColor="text1"/>
        </w:rPr>
        <w:t xml:space="preserve">. </w:t>
      </w:r>
      <w:r w:rsidR="00025A02">
        <w:rPr>
          <w:rFonts w:ascii="Book Antiqua" w:hAnsi="Book Antiqua"/>
          <w:color w:val="000000" w:themeColor="text1"/>
        </w:rPr>
        <w:t>In addition, t</w:t>
      </w:r>
      <w:r w:rsidRPr="000749C9">
        <w:rPr>
          <w:rFonts w:ascii="Book Antiqua" w:hAnsi="Book Antiqua"/>
          <w:color w:val="000000" w:themeColor="text1"/>
        </w:rPr>
        <w:t xml:space="preserve">he Sri Lankan government </w:t>
      </w:r>
      <w:r w:rsidR="00025A02">
        <w:rPr>
          <w:rFonts w:ascii="Book Antiqua" w:hAnsi="Book Antiqua"/>
          <w:color w:val="000000" w:themeColor="text1"/>
        </w:rPr>
        <w:t>provides</w:t>
      </w:r>
      <w:r w:rsidRPr="000749C9">
        <w:rPr>
          <w:rFonts w:ascii="Book Antiqua" w:hAnsi="Book Antiqua"/>
          <w:color w:val="000000" w:themeColor="text1"/>
        </w:rPr>
        <w:t xml:space="preserve"> </w:t>
      </w:r>
      <w:r w:rsidR="001A6246">
        <w:rPr>
          <w:rFonts w:ascii="Book Antiqua" w:hAnsi="Book Antiqua"/>
          <w:color w:val="000000" w:themeColor="text1"/>
        </w:rPr>
        <w:t xml:space="preserve">the </w:t>
      </w:r>
      <w:r w:rsidR="00025A02">
        <w:rPr>
          <w:rFonts w:ascii="Book Antiqua" w:hAnsi="Book Antiqua"/>
          <w:color w:val="000000" w:themeColor="text1"/>
        </w:rPr>
        <w:t>s</w:t>
      </w:r>
      <w:r w:rsidR="001A6246">
        <w:rPr>
          <w:rFonts w:ascii="Book Antiqua" w:hAnsi="Book Antiqua"/>
          <w:color w:val="000000" w:themeColor="text1"/>
        </w:rPr>
        <w:t>ecretariat facilities and operation cost.</w:t>
      </w:r>
      <w:r w:rsidRPr="000749C9">
        <w:rPr>
          <w:rFonts w:ascii="Book Antiqua" w:hAnsi="Book Antiqua"/>
          <w:color w:val="000000" w:themeColor="text1"/>
        </w:rPr>
        <w:t xml:space="preserve"> </w:t>
      </w:r>
    </w:p>
    <w:p w14:paraId="605558A0" w14:textId="51803D09" w:rsidR="00012127" w:rsidRDefault="00012127" w:rsidP="00501D9D">
      <w:pPr>
        <w:snapToGrid w:val="0"/>
        <w:spacing w:after="60" w:line="276" w:lineRule="auto"/>
        <w:jc w:val="center"/>
        <w:rPr>
          <w:b/>
          <w:bCs/>
        </w:rPr>
      </w:pPr>
      <w:r>
        <w:rPr>
          <w:b/>
          <w:bCs/>
        </w:rPr>
        <w:t>Table 3. Agreed Country Contribution</w:t>
      </w:r>
      <w:r w:rsidR="00661B46">
        <w:rPr>
          <w:b/>
          <w:bCs/>
        </w:rPr>
        <w:t>s for SACEP</w:t>
      </w:r>
      <w:r>
        <w:rPr>
          <w:b/>
          <w:bCs/>
        </w:rPr>
        <w:t xml:space="preserve"> since 2015</w:t>
      </w:r>
    </w:p>
    <w:tbl>
      <w:tblPr>
        <w:tblW w:w="9222" w:type="dxa"/>
        <w:jc w:val="center"/>
        <w:tblLayout w:type="fixed"/>
        <w:tblLook w:val="04A0" w:firstRow="1" w:lastRow="0" w:firstColumn="1" w:lastColumn="0" w:noHBand="0" w:noVBand="1"/>
      </w:tblPr>
      <w:tblGrid>
        <w:gridCol w:w="3074"/>
        <w:gridCol w:w="3074"/>
        <w:gridCol w:w="3074"/>
      </w:tblGrid>
      <w:tr w:rsidR="002F2DB6" w:rsidRPr="002F2DB6" w14:paraId="6008E03E" w14:textId="77777777" w:rsidTr="00133AEC">
        <w:trPr>
          <w:trHeight w:val="376"/>
          <w:jc w:val="center"/>
        </w:trPr>
        <w:tc>
          <w:tcPr>
            <w:tcW w:w="3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7DC35" w14:textId="77777777" w:rsidR="002F2DB6" w:rsidRPr="002F2DB6" w:rsidRDefault="002F2DB6" w:rsidP="00501D9D">
            <w:pPr>
              <w:spacing w:after="0" w:line="240" w:lineRule="auto"/>
              <w:rPr>
                <w:rFonts w:ascii="Calibri" w:eastAsia="Times New Roman" w:hAnsi="Calibri" w:cs="Calibri"/>
                <w:b/>
                <w:bCs/>
                <w:color w:val="000000"/>
                <w:lang w:eastAsia="ko-KR"/>
              </w:rPr>
            </w:pPr>
            <w:r w:rsidRPr="002F2DB6">
              <w:rPr>
                <w:rFonts w:ascii="Calibri" w:eastAsia="Times New Roman" w:hAnsi="Calibri" w:cs="Calibri"/>
                <w:b/>
                <w:bCs/>
                <w:color w:val="000000"/>
                <w:lang w:eastAsia="ko-KR"/>
              </w:rPr>
              <w:t>Country</w:t>
            </w:r>
          </w:p>
        </w:tc>
        <w:tc>
          <w:tcPr>
            <w:tcW w:w="3074" w:type="dxa"/>
            <w:tcBorders>
              <w:top w:val="single" w:sz="4" w:space="0" w:color="auto"/>
              <w:left w:val="nil"/>
              <w:bottom w:val="single" w:sz="4" w:space="0" w:color="auto"/>
              <w:right w:val="single" w:sz="4" w:space="0" w:color="auto"/>
            </w:tcBorders>
            <w:shd w:val="clear" w:color="auto" w:fill="auto"/>
            <w:vAlign w:val="center"/>
            <w:hideMark/>
          </w:tcPr>
          <w:p w14:paraId="0467CD5A" w14:textId="77777777" w:rsidR="002F2DB6" w:rsidRPr="002F2DB6" w:rsidRDefault="002F2DB6" w:rsidP="00501D9D">
            <w:pPr>
              <w:spacing w:after="0" w:line="240" w:lineRule="auto"/>
              <w:jc w:val="right"/>
              <w:rPr>
                <w:rFonts w:ascii="Calibri" w:eastAsia="Times New Roman" w:hAnsi="Calibri" w:cs="Calibri"/>
                <w:b/>
                <w:bCs/>
                <w:color w:val="000000"/>
                <w:lang w:eastAsia="ko-KR"/>
              </w:rPr>
            </w:pPr>
            <w:r w:rsidRPr="002F2DB6">
              <w:rPr>
                <w:rFonts w:ascii="Calibri" w:eastAsia="Times New Roman" w:hAnsi="Calibri" w:cs="Calibri"/>
                <w:b/>
                <w:bCs/>
                <w:color w:val="000000"/>
                <w:lang w:eastAsia="ko-KR"/>
              </w:rPr>
              <w:t>US$</w:t>
            </w:r>
          </w:p>
        </w:tc>
        <w:tc>
          <w:tcPr>
            <w:tcW w:w="3074" w:type="dxa"/>
            <w:tcBorders>
              <w:top w:val="single" w:sz="4" w:space="0" w:color="auto"/>
              <w:left w:val="nil"/>
              <w:bottom w:val="single" w:sz="4" w:space="0" w:color="auto"/>
              <w:right w:val="single" w:sz="4" w:space="0" w:color="auto"/>
            </w:tcBorders>
            <w:shd w:val="clear" w:color="auto" w:fill="auto"/>
            <w:noWrap/>
            <w:vAlign w:val="bottom"/>
            <w:hideMark/>
          </w:tcPr>
          <w:p w14:paraId="1D3D9EFC" w14:textId="0E1165EA" w:rsidR="002F2DB6" w:rsidRPr="002F2DB6" w:rsidRDefault="002F2DB6" w:rsidP="00501D9D">
            <w:pPr>
              <w:spacing w:after="0" w:line="240" w:lineRule="auto"/>
              <w:jc w:val="right"/>
              <w:rPr>
                <w:rFonts w:ascii="Calibri" w:eastAsia="Times New Roman" w:hAnsi="Calibri" w:cs="Calibri"/>
                <w:color w:val="000000"/>
                <w:lang w:eastAsia="ko-KR"/>
              </w:rPr>
            </w:pPr>
            <w:r w:rsidRPr="00F16DEF">
              <w:rPr>
                <w:rFonts w:ascii="Calibri" w:eastAsia="Times New Roman" w:hAnsi="Calibri" w:cs="Calibri"/>
                <w:b/>
                <w:bCs/>
                <w:color w:val="000000"/>
                <w:lang w:eastAsia="ko-KR"/>
              </w:rPr>
              <w:t>Country share</w:t>
            </w:r>
            <w:r>
              <w:rPr>
                <w:rFonts w:ascii="Calibri" w:eastAsia="Times New Roman" w:hAnsi="Calibri" w:cs="Calibri"/>
                <w:b/>
                <w:bCs/>
                <w:color w:val="000000"/>
                <w:lang w:eastAsia="ko-KR"/>
              </w:rPr>
              <w:t xml:space="preserve"> (%)</w:t>
            </w:r>
          </w:p>
        </w:tc>
      </w:tr>
      <w:tr w:rsidR="002F2DB6" w:rsidRPr="002F2DB6" w14:paraId="69425776" w14:textId="77777777" w:rsidTr="00133AEC">
        <w:trPr>
          <w:trHeight w:val="376"/>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4F8F9B4A" w14:textId="77777777" w:rsidR="002F2DB6" w:rsidRPr="002F2DB6" w:rsidRDefault="002F2DB6" w:rsidP="00501D9D">
            <w:pPr>
              <w:spacing w:after="0" w:line="240" w:lineRule="auto"/>
              <w:rPr>
                <w:rFonts w:ascii="Calibri" w:eastAsia="Times New Roman" w:hAnsi="Calibri" w:cs="Calibri"/>
                <w:color w:val="000000"/>
                <w:lang w:eastAsia="ko-KR"/>
              </w:rPr>
            </w:pPr>
            <w:r w:rsidRPr="002F2DB6">
              <w:rPr>
                <w:rFonts w:ascii="Calibri" w:eastAsia="Times New Roman" w:hAnsi="Calibri" w:cs="Calibri"/>
                <w:color w:val="000000"/>
                <w:lang w:eastAsia="ko-KR"/>
              </w:rPr>
              <w:t>Afghanistan</w:t>
            </w:r>
          </w:p>
        </w:tc>
        <w:tc>
          <w:tcPr>
            <w:tcW w:w="3074" w:type="dxa"/>
            <w:tcBorders>
              <w:top w:val="nil"/>
              <w:left w:val="nil"/>
              <w:bottom w:val="single" w:sz="4" w:space="0" w:color="auto"/>
              <w:right w:val="single" w:sz="4" w:space="0" w:color="auto"/>
            </w:tcBorders>
            <w:shd w:val="clear" w:color="auto" w:fill="auto"/>
            <w:vAlign w:val="center"/>
            <w:hideMark/>
          </w:tcPr>
          <w:p w14:paraId="53454DE2"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8,050</w:t>
            </w:r>
          </w:p>
        </w:tc>
        <w:tc>
          <w:tcPr>
            <w:tcW w:w="3074" w:type="dxa"/>
            <w:tcBorders>
              <w:top w:val="nil"/>
              <w:left w:val="nil"/>
              <w:bottom w:val="single" w:sz="4" w:space="0" w:color="auto"/>
              <w:right w:val="single" w:sz="4" w:space="0" w:color="auto"/>
            </w:tcBorders>
            <w:shd w:val="clear" w:color="auto" w:fill="auto"/>
            <w:noWrap/>
            <w:vAlign w:val="bottom"/>
            <w:hideMark/>
          </w:tcPr>
          <w:p w14:paraId="24C9B570"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5.78</w:t>
            </w:r>
          </w:p>
        </w:tc>
      </w:tr>
      <w:tr w:rsidR="002F2DB6" w:rsidRPr="002F2DB6" w14:paraId="76CB6E80" w14:textId="77777777" w:rsidTr="00133AEC">
        <w:trPr>
          <w:trHeight w:val="376"/>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3122388A" w14:textId="77777777" w:rsidR="002F2DB6" w:rsidRPr="002F2DB6" w:rsidRDefault="002F2DB6" w:rsidP="00501D9D">
            <w:pPr>
              <w:spacing w:after="0" w:line="240" w:lineRule="auto"/>
              <w:rPr>
                <w:rFonts w:ascii="Calibri" w:eastAsia="Times New Roman" w:hAnsi="Calibri" w:cs="Calibri"/>
                <w:color w:val="000000"/>
                <w:lang w:eastAsia="ko-KR"/>
              </w:rPr>
            </w:pPr>
            <w:r w:rsidRPr="002F2DB6">
              <w:rPr>
                <w:rFonts w:ascii="Calibri" w:eastAsia="Times New Roman" w:hAnsi="Calibri" w:cs="Calibri"/>
                <w:color w:val="000000"/>
                <w:lang w:eastAsia="ko-KR"/>
              </w:rPr>
              <w:t>Bangladesh</w:t>
            </w:r>
          </w:p>
        </w:tc>
        <w:tc>
          <w:tcPr>
            <w:tcW w:w="3074" w:type="dxa"/>
            <w:tcBorders>
              <w:top w:val="nil"/>
              <w:left w:val="nil"/>
              <w:bottom w:val="single" w:sz="4" w:space="0" w:color="auto"/>
              <w:right w:val="single" w:sz="4" w:space="0" w:color="auto"/>
            </w:tcBorders>
            <w:shd w:val="clear" w:color="auto" w:fill="auto"/>
            <w:vAlign w:val="center"/>
            <w:hideMark/>
          </w:tcPr>
          <w:p w14:paraId="08DFC47A"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23,430</w:t>
            </w:r>
          </w:p>
        </w:tc>
        <w:tc>
          <w:tcPr>
            <w:tcW w:w="3074" w:type="dxa"/>
            <w:tcBorders>
              <w:top w:val="nil"/>
              <w:left w:val="nil"/>
              <w:bottom w:val="single" w:sz="4" w:space="0" w:color="auto"/>
              <w:right w:val="single" w:sz="4" w:space="0" w:color="auto"/>
            </w:tcBorders>
            <w:shd w:val="clear" w:color="auto" w:fill="auto"/>
            <w:noWrap/>
            <w:vAlign w:val="bottom"/>
            <w:hideMark/>
          </w:tcPr>
          <w:p w14:paraId="0B813498"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16.83</w:t>
            </w:r>
          </w:p>
        </w:tc>
      </w:tr>
      <w:tr w:rsidR="002F2DB6" w:rsidRPr="002F2DB6" w14:paraId="339108A3" w14:textId="77777777" w:rsidTr="00133AEC">
        <w:trPr>
          <w:trHeight w:val="376"/>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755B290C" w14:textId="77777777" w:rsidR="002F2DB6" w:rsidRPr="002F2DB6" w:rsidRDefault="002F2DB6" w:rsidP="00501D9D">
            <w:pPr>
              <w:spacing w:after="0" w:line="240" w:lineRule="auto"/>
              <w:rPr>
                <w:rFonts w:ascii="Calibri" w:eastAsia="Times New Roman" w:hAnsi="Calibri" w:cs="Calibri"/>
                <w:color w:val="000000"/>
                <w:lang w:eastAsia="ko-KR"/>
              </w:rPr>
            </w:pPr>
            <w:r w:rsidRPr="002F2DB6">
              <w:rPr>
                <w:rFonts w:ascii="Calibri" w:eastAsia="Times New Roman" w:hAnsi="Calibri" w:cs="Calibri"/>
                <w:color w:val="000000"/>
                <w:lang w:eastAsia="ko-KR"/>
              </w:rPr>
              <w:t>Bhutan</w:t>
            </w:r>
          </w:p>
        </w:tc>
        <w:tc>
          <w:tcPr>
            <w:tcW w:w="3074" w:type="dxa"/>
            <w:tcBorders>
              <w:top w:val="nil"/>
              <w:left w:val="nil"/>
              <w:bottom w:val="single" w:sz="4" w:space="0" w:color="auto"/>
              <w:right w:val="single" w:sz="4" w:space="0" w:color="auto"/>
            </w:tcBorders>
            <w:shd w:val="clear" w:color="auto" w:fill="auto"/>
            <w:vAlign w:val="center"/>
            <w:hideMark/>
          </w:tcPr>
          <w:p w14:paraId="454297A3"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3,555</w:t>
            </w:r>
          </w:p>
        </w:tc>
        <w:tc>
          <w:tcPr>
            <w:tcW w:w="3074" w:type="dxa"/>
            <w:tcBorders>
              <w:top w:val="nil"/>
              <w:left w:val="nil"/>
              <w:bottom w:val="single" w:sz="4" w:space="0" w:color="auto"/>
              <w:right w:val="single" w:sz="4" w:space="0" w:color="auto"/>
            </w:tcBorders>
            <w:shd w:val="clear" w:color="auto" w:fill="auto"/>
            <w:noWrap/>
            <w:vAlign w:val="bottom"/>
            <w:hideMark/>
          </w:tcPr>
          <w:p w14:paraId="26C01FCF"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2.55</w:t>
            </w:r>
          </w:p>
        </w:tc>
      </w:tr>
      <w:tr w:rsidR="002F2DB6" w:rsidRPr="002F2DB6" w14:paraId="0DC5ECC7" w14:textId="77777777" w:rsidTr="00133AEC">
        <w:trPr>
          <w:trHeight w:val="376"/>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5E053725" w14:textId="77777777" w:rsidR="002F2DB6" w:rsidRPr="002F2DB6" w:rsidRDefault="002F2DB6" w:rsidP="00501D9D">
            <w:pPr>
              <w:spacing w:after="0" w:line="240" w:lineRule="auto"/>
              <w:rPr>
                <w:rFonts w:ascii="Calibri" w:eastAsia="Times New Roman" w:hAnsi="Calibri" w:cs="Calibri"/>
                <w:color w:val="000000"/>
                <w:lang w:eastAsia="ko-KR"/>
              </w:rPr>
            </w:pPr>
            <w:r w:rsidRPr="002F2DB6">
              <w:rPr>
                <w:rFonts w:ascii="Calibri" w:eastAsia="Times New Roman" w:hAnsi="Calibri" w:cs="Calibri"/>
                <w:color w:val="000000"/>
                <w:lang w:eastAsia="ko-KR"/>
              </w:rPr>
              <w:t>India</w:t>
            </w:r>
          </w:p>
        </w:tc>
        <w:tc>
          <w:tcPr>
            <w:tcW w:w="3074" w:type="dxa"/>
            <w:tcBorders>
              <w:top w:val="nil"/>
              <w:left w:val="nil"/>
              <w:bottom w:val="single" w:sz="4" w:space="0" w:color="auto"/>
              <w:right w:val="single" w:sz="4" w:space="0" w:color="auto"/>
            </w:tcBorders>
            <w:shd w:val="clear" w:color="auto" w:fill="auto"/>
            <w:vAlign w:val="center"/>
            <w:hideMark/>
          </w:tcPr>
          <w:p w14:paraId="09216FCB"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31,850</w:t>
            </w:r>
          </w:p>
        </w:tc>
        <w:tc>
          <w:tcPr>
            <w:tcW w:w="3074" w:type="dxa"/>
            <w:tcBorders>
              <w:top w:val="nil"/>
              <w:left w:val="nil"/>
              <w:bottom w:val="single" w:sz="4" w:space="0" w:color="auto"/>
              <w:right w:val="single" w:sz="4" w:space="0" w:color="auto"/>
            </w:tcBorders>
            <w:shd w:val="clear" w:color="auto" w:fill="auto"/>
            <w:noWrap/>
            <w:vAlign w:val="bottom"/>
            <w:hideMark/>
          </w:tcPr>
          <w:p w14:paraId="62CA810E"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22.88</w:t>
            </w:r>
          </w:p>
        </w:tc>
      </w:tr>
      <w:tr w:rsidR="002F2DB6" w:rsidRPr="002F2DB6" w14:paraId="19850EFE" w14:textId="77777777" w:rsidTr="00133AEC">
        <w:trPr>
          <w:trHeight w:val="376"/>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7D1936FA" w14:textId="77777777" w:rsidR="002F2DB6" w:rsidRPr="002F2DB6" w:rsidRDefault="002F2DB6" w:rsidP="00501D9D">
            <w:pPr>
              <w:spacing w:after="0" w:line="240" w:lineRule="auto"/>
              <w:rPr>
                <w:rFonts w:ascii="Calibri" w:eastAsia="Times New Roman" w:hAnsi="Calibri" w:cs="Calibri"/>
                <w:color w:val="000000"/>
                <w:lang w:eastAsia="ko-KR"/>
              </w:rPr>
            </w:pPr>
            <w:r w:rsidRPr="002F2DB6">
              <w:rPr>
                <w:rFonts w:ascii="Calibri" w:eastAsia="Times New Roman" w:hAnsi="Calibri" w:cs="Calibri"/>
                <w:color w:val="000000"/>
                <w:lang w:eastAsia="ko-KR"/>
              </w:rPr>
              <w:t>Maldives</w:t>
            </w:r>
          </w:p>
        </w:tc>
        <w:tc>
          <w:tcPr>
            <w:tcW w:w="3074" w:type="dxa"/>
            <w:tcBorders>
              <w:top w:val="nil"/>
              <w:left w:val="nil"/>
              <w:bottom w:val="single" w:sz="4" w:space="0" w:color="auto"/>
              <w:right w:val="single" w:sz="4" w:space="0" w:color="auto"/>
            </w:tcBorders>
            <w:shd w:val="clear" w:color="auto" w:fill="auto"/>
            <w:vAlign w:val="center"/>
            <w:hideMark/>
          </w:tcPr>
          <w:p w14:paraId="4B5F06DC"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14,575</w:t>
            </w:r>
          </w:p>
        </w:tc>
        <w:tc>
          <w:tcPr>
            <w:tcW w:w="3074" w:type="dxa"/>
            <w:tcBorders>
              <w:top w:val="nil"/>
              <w:left w:val="nil"/>
              <w:bottom w:val="single" w:sz="4" w:space="0" w:color="auto"/>
              <w:right w:val="single" w:sz="4" w:space="0" w:color="auto"/>
            </w:tcBorders>
            <w:shd w:val="clear" w:color="auto" w:fill="auto"/>
            <w:noWrap/>
            <w:vAlign w:val="bottom"/>
            <w:hideMark/>
          </w:tcPr>
          <w:p w14:paraId="17971172"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10.47</w:t>
            </w:r>
          </w:p>
        </w:tc>
      </w:tr>
      <w:tr w:rsidR="002F2DB6" w:rsidRPr="002F2DB6" w14:paraId="2FC99E74" w14:textId="77777777" w:rsidTr="00133AEC">
        <w:trPr>
          <w:trHeight w:val="376"/>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209CF22E" w14:textId="77777777" w:rsidR="002F2DB6" w:rsidRPr="002F2DB6" w:rsidRDefault="002F2DB6" w:rsidP="00501D9D">
            <w:pPr>
              <w:spacing w:after="0" w:line="240" w:lineRule="auto"/>
              <w:rPr>
                <w:rFonts w:ascii="Calibri" w:eastAsia="Times New Roman" w:hAnsi="Calibri" w:cs="Calibri"/>
                <w:color w:val="000000"/>
                <w:lang w:eastAsia="ko-KR"/>
              </w:rPr>
            </w:pPr>
            <w:r w:rsidRPr="002F2DB6">
              <w:rPr>
                <w:rFonts w:ascii="Calibri" w:eastAsia="Times New Roman" w:hAnsi="Calibri" w:cs="Calibri"/>
                <w:color w:val="000000"/>
                <w:lang w:eastAsia="ko-KR"/>
              </w:rPr>
              <w:t>Nepal</w:t>
            </w:r>
          </w:p>
        </w:tc>
        <w:tc>
          <w:tcPr>
            <w:tcW w:w="3074" w:type="dxa"/>
            <w:tcBorders>
              <w:top w:val="nil"/>
              <w:left w:val="nil"/>
              <w:bottom w:val="single" w:sz="4" w:space="0" w:color="auto"/>
              <w:right w:val="single" w:sz="4" w:space="0" w:color="auto"/>
            </w:tcBorders>
            <w:shd w:val="clear" w:color="auto" w:fill="auto"/>
            <w:vAlign w:val="center"/>
            <w:hideMark/>
          </w:tcPr>
          <w:p w14:paraId="40038243"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8,050</w:t>
            </w:r>
          </w:p>
        </w:tc>
        <w:tc>
          <w:tcPr>
            <w:tcW w:w="3074" w:type="dxa"/>
            <w:tcBorders>
              <w:top w:val="nil"/>
              <w:left w:val="nil"/>
              <w:bottom w:val="single" w:sz="4" w:space="0" w:color="auto"/>
              <w:right w:val="single" w:sz="4" w:space="0" w:color="auto"/>
            </w:tcBorders>
            <w:shd w:val="clear" w:color="auto" w:fill="auto"/>
            <w:noWrap/>
            <w:vAlign w:val="bottom"/>
            <w:hideMark/>
          </w:tcPr>
          <w:p w14:paraId="61A91CFA"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5.78</w:t>
            </w:r>
          </w:p>
        </w:tc>
      </w:tr>
      <w:tr w:rsidR="002F2DB6" w:rsidRPr="002F2DB6" w14:paraId="23F67F17" w14:textId="77777777" w:rsidTr="00133AEC">
        <w:trPr>
          <w:trHeight w:val="376"/>
          <w:jc w:val="center"/>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64D096BD" w14:textId="77777777" w:rsidR="002F2DB6" w:rsidRPr="002F2DB6" w:rsidRDefault="002F2DB6" w:rsidP="00501D9D">
            <w:pPr>
              <w:spacing w:after="0" w:line="240" w:lineRule="auto"/>
              <w:rPr>
                <w:rFonts w:ascii="Calibri" w:eastAsia="Times New Roman" w:hAnsi="Calibri" w:cs="Calibri"/>
                <w:color w:val="000000"/>
                <w:lang w:eastAsia="ko-KR"/>
              </w:rPr>
            </w:pPr>
            <w:r w:rsidRPr="002F2DB6">
              <w:rPr>
                <w:rFonts w:ascii="Calibri" w:eastAsia="Times New Roman" w:hAnsi="Calibri" w:cs="Calibri"/>
                <w:color w:val="000000"/>
                <w:lang w:eastAsia="ko-KR"/>
              </w:rPr>
              <w:t>Pakistan</w:t>
            </w:r>
          </w:p>
        </w:tc>
        <w:tc>
          <w:tcPr>
            <w:tcW w:w="3074" w:type="dxa"/>
            <w:tcBorders>
              <w:top w:val="nil"/>
              <w:left w:val="nil"/>
              <w:bottom w:val="single" w:sz="4" w:space="0" w:color="auto"/>
              <w:right w:val="single" w:sz="4" w:space="0" w:color="auto"/>
            </w:tcBorders>
            <w:shd w:val="clear" w:color="auto" w:fill="auto"/>
            <w:vAlign w:val="center"/>
            <w:hideMark/>
          </w:tcPr>
          <w:p w14:paraId="3133BF41"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31,850</w:t>
            </w:r>
          </w:p>
        </w:tc>
        <w:tc>
          <w:tcPr>
            <w:tcW w:w="3074" w:type="dxa"/>
            <w:tcBorders>
              <w:top w:val="nil"/>
              <w:left w:val="nil"/>
              <w:bottom w:val="single" w:sz="4" w:space="0" w:color="auto"/>
              <w:right w:val="single" w:sz="4" w:space="0" w:color="auto"/>
            </w:tcBorders>
            <w:shd w:val="clear" w:color="auto" w:fill="auto"/>
            <w:noWrap/>
            <w:vAlign w:val="bottom"/>
            <w:hideMark/>
          </w:tcPr>
          <w:p w14:paraId="293CFE5A" w14:textId="77777777" w:rsidR="002F2DB6" w:rsidRPr="002F2DB6" w:rsidRDefault="002F2DB6" w:rsidP="00501D9D">
            <w:pPr>
              <w:spacing w:after="0" w:line="240" w:lineRule="auto"/>
              <w:jc w:val="right"/>
              <w:rPr>
                <w:rFonts w:ascii="Calibri" w:eastAsia="Times New Roman" w:hAnsi="Calibri" w:cs="Calibri"/>
                <w:color w:val="000000"/>
                <w:lang w:eastAsia="ko-KR"/>
              </w:rPr>
            </w:pPr>
            <w:r w:rsidRPr="002F2DB6">
              <w:rPr>
                <w:rFonts w:ascii="Calibri" w:eastAsia="Times New Roman" w:hAnsi="Calibri" w:cs="Calibri"/>
                <w:color w:val="000000"/>
                <w:lang w:eastAsia="ko-KR"/>
              </w:rPr>
              <w:t>22.88</w:t>
            </w:r>
          </w:p>
        </w:tc>
      </w:tr>
    </w:tbl>
    <w:p w14:paraId="36F45C40" w14:textId="71649C1F" w:rsidR="000749C9" w:rsidRDefault="00501D9D" w:rsidP="00143DC7">
      <w:pPr>
        <w:snapToGrid w:val="0"/>
        <w:spacing w:after="0" w:line="276" w:lineRule="auto"/>
        <w:jc w:val="both"/>
        <w:rPr>
          <w:rStyle w:val="Hyperlink"/>
          <w:rFonts w:ascii="Calibri" w:hAnsi="Calibri" w:cs="Calibri"/>
          <w:sz w:val="18"/>
          <w:szCs w:val="18"/>
        </w:rPr>
      </w:pPr>
      <w:r>
        <w:rPr>
          <w:rFonts w:ascii="Calibri" w:hAnsi="Calibri" w:cs="Calibri"/>
          <w:color w:val="000000" w:themeColor="text1"/>
          <w:sz w:val="18"/>
          <w:szCs w:val="18"/>
        </w:rPr>
        <w:t xml:space="preserve">   </w:t>
      </w:r>
      <w:r w:rsidR="00012127" w:rsidRPr="00BA0224">
        <w:rPr>
          <w:rFonts w:ascii="Calibri" w:hAnsi="Calibri" w:cs="Calibri"/>
          <w:color w:val="000000" w:themeColor="text1"/>
          <w:sz w:val="18"/>
          <w:szCs w:val="18"/>
        </w:rPr>
        <w:t>Source:</w:t>
      </w:r>
      <w:r w:rsidR="00987DDF">
        <w:rPr>
          <w:rFonts w:ascii="Calibri" w:hAnsi="Calibri" w:cs="Calibri"/>
          <w:color w:val="000000" w:themeColor="text1"/>
          <w:sz w:val="18"/>
          <w:szCs w:val="18"/>
        </w:rPr>
        <w:t xml:space="preserve"> Report of the 15</w:t>
      </w:r>
      <w:r w:rsidR="00987DDF" w:rsidRPr="00F16DEF">
        <w:rPr>
          <w:rFonts w:ascii="Calibri" w:hAnsi="Calibri" w:cs="Calibri"/>
          <w:color w:val="000000" w:themeColor="text1"/>
          <w:sz w:val="18"/>
          <w:szCs w:val="18"/>
          <w:vertAlign w:val="superscript"/>
        </w:rPr>
        <w:t>th</w:t>
      </w:r>
      <w:r w:rsidR="00987DDF">
        <w:rPr>
          <w:rFonts w:ascii="Calibri" w:hAnsi="Calibri" w:cs="Calibri"/>
          <w:color w:val="000000" w:themeColor="text1"/>
          <w:sz w:val="18"/>
          <w:szCs w:val="18"/>
        </w:rPr>
        <w:t xml:space="preserve"> Meeting of Governing Council </w:t>
      </w:r>
      <w:hyperlink r:id="rId13" w:history="1">
        <w:r w:rsidR="00012127" w:rsidRPr="00BA0224">
          <w:rPr>
            <w:rStyle w:val="Hyperlink"/>
            <w:rFonts w:ascii="Calibri" w:hAnsi="Calibri" w:cs="Calibri"/>
            <w:sz w:val="18"/>
            <w:szCs w:val="18"/>
          </w:rPr>
          <w:t>http://www.sacep.org/pdf/Reports-GC-SACEP/GC_15_Report.pdf</w:t>
        </w:r>
      </w:hyperlink>
    </w:p>
    <w:p w14:paraId="44F471BF" w14:textId="77777777" w:rsidR="009F5C87" w:rsidRDefault="009F5C87" w:rsidP="00143DC7">
      <w:pPr>
        <w:snapToGrid w:val="0"/>
        <w:spacing w:after="0" w:line="276" w:lineRule="auto"/>
        <w:jc w:val="both"/>
        <w:rPr>
          <w:rFonts w:ascii="Book Antiqua" w:hAnsi="Book Antiqua"/>
          <w:color w:val="000000" w:themeColor="text1"/>
        </w:rPr>
      </w:pPr>
    </w:p>
    <w:p w14:paraId="2B6603C3" w14:textId="3BC63AFC" w:rsidR="003167F0" w:rsidRDefault="0012442B" w:rsidP="00661B46">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Pr>
          <w:rFonts w:ascii="Book Antiqua" w:hAnsi="Book Antiqua"/>
          <w:color w:val="000000" w:themeColor="text1"/>
        </w:rPr>
        <w:t>Furthermore</w:t>
      </w:r>
      <w:r w:rsidR="003167F0" w:rsidRPr="003167F0">
        <w:rPr>
          <w:rFonts w:ascii="Book Antiqua" w:hAnsi="Book Antiqua"/>
          <w:color w:val="000000" w:themeColor="text1"/>
        </w:rPr>
        <w:t xml:space="preserve">, </w:t>
      </w:r>
      <w:r w:rsidR="000E06F4">
        <w:rPr>
          <w:rFonts w:ascii="Book Antiqua" w:hAnsi="Book Antiqua"/>
          <w:color w:val="000000" w:themeColor="text1"/>
        </w:rPr>
        <w:t xml:space="preserve">member States </w:t>
      </w:r>
      <w:r w:rsidR="003167F0" w:rsidRPr="003167F0">
        <w:rPr>
          <w:rFonts w:ascii="Book Antiqua" w:hAnsi="Book Antiqua"/>
          <w:color w:val="000000" w:themeColor="text1"/>
        </w:rPr>
        <w:t xml:space="preserve">established a voluntary-based Corpus Fund in 2003 to strengthen the financial and project base of SACEP while only India made </w:t>
      </w:r>
      <w:r w:rsidR="00FF2257">
        <w:rPr>
          <w:rFonts w:ascii="Book Antiqua" w:hAnsi="Book Antiqua"/>
          <w:color w:val="000000" w:themeColor="text1"/>
        </w:rPr>
        <w:t xml:space="preserve">the </w:t>
      </w:r>
      <w:r w:rsidR="003167F0" w:rsidRPr="003167F0">
        <w:rPr>
          <w:rFonts w:ascii="Book Antiqua" w:hAnsi="Book Antiqua"/>
          <w:color w:val="000000" w:themeColor="text1"/>
        </w:rPr>
        <w:t xml:space="preserve">contribution of US$ 200,000 as of 2019.  </w:t>
      </w:r>
      <w:r w:rsidR="00684F05" w:rsidRPr="003167F0">
        <w:rPr>
          <w:rFonts w:ascii="Book Antiqua" w:hAnsi="Book Antiqua"/>
          <w:color w:val="000000" w:themeColor="text1"/>
        </w:rPr>
        <w:t xml:space="preserve">SACEP also receives project-level funding from various international and regional agencies. </w:t>
      </w:r>
      <w:r w:rsidR="003167F0" w:rsidRPr="003167F0">
        <w:rPr>
          <w:rFonts w:ascii="Book Antiqua" w:hAnsi="Book Antiqua"/>
          <w:color w:val="000000" w:themeColor="text1"/>
        </w:rPr>
        <w:t xml:space="preserve">For instance, </w:t>
      </w:r>
      <w:r w:rsidR="00684F05" w:rsidRPr="003167F0">
        <w:rPr>
          <w:rFonts w:ascii="Book Antiqua" w:hAnsi="Book Antiqua"/>
          <w:color w:val="000000" w:themeColor="text1"/>
        </w:rPr>
        <w:t xml:space="preserve">US$ 790,746 of external funding was secured </w:t>
      </w:r>
      <w:r w:rsidR="003167F0" w:rsidRPr="003167F0">
        <w:rPr>
          <w:rFonts w:ascii="Book Antiqua" w:hAnsi="Book Antiqua"/>
          <w:color w:val="000000" w:themeColor="text1"/>
        </w:rPr>
        <w:t xml:space="preserve">during 2018-2019 </w:t>
      </w:r>
      <w:r w:rsidR="00684F05" w:rsidRPr="003167F0">
        <w:rPr>
          <w:rFonts w:ascii="Book Antiqua" w:hAnsi="Book Antiqua"/>
          <w:color w:val="000000" w:themeColor="text1"/>
        </w:rPr>
        <w:t>for project-based activities</w:t>
      </w:r>
      <w:r w:rsidR="000659C4" w:rsidRPr="003167F0">
        <w:rPr>
          <w:rFonts w:ascii="Book Antiqua" w:hAnsi="Book Antiqua"/>
          <w:color w:val="000000" w:themeColor="text1"/>
        </w:rPr>
        <w:t xml:space="preserve"> from donors such as UNEP</w:t>
      </w:r>
      <w:r w:rsidR="00684F05" w:rsidRPr="003167F0">
        <w:rPr>
          <w:rFonts w:ascii="Book Antiqua" w:hAnsi="Book Antiqua"/>
          <w:color w:val="000000" w:themeColor="text1"/>
        </w:rPr>
        <w:t>, IGES, IMO</w:t>
      </w:r>
      <w:r w:rsidR="00501D9D">
        <w:rPr>
          <w:rFonts w:ascii="Book Antiqua" w:hAnsi="Book Antiqua"/>
          <w:color w:val="000000" w:themeColor="text1"/>
        </w:rPr>
        <w:t>,</w:t>
      </w:r>
      <w:r w:rsidR="00684F05" w:rsidRPr="003167F0">
        <w:rPr>
          <w:rFonts w:ascii="Book Antiqua" w:hAnsi="Book Antiqua"/>
          <w:color w:val="000000" w:themeColor="text1"/>
        </w:rPr>
        <w:t xml:space="preserve"> and ADB.  </w:t>
      </w:r>
    </w:p>
    <w:p w14:paraId="68752289" w14:textId="58640C60" w:rsidR="004A65CE" w:rsidRDefault="005515ED" w:rsidP="00661B46">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Pr>
          <w:rFonts w:ascii="Book Antiqua" w:hAnsi="Book Antiqua"/>
          <w:color w:val="000000" w:themeColor="text1"/>
        </w:rPr>
        <w:t xml:space="preserve">However, </w:t>
      </w:r>
      <w:r w:rsidR="003167F0">
        <w:rPr>
          <w:rFonts w:ascii="Book Antiqua" w:hAnsi="Book Antiqua"/>
          <w:color w:val="000000" w:themeColor="text1"/>
        </w:rPr>
        <w:t xml:space="preserve">SACEP </w:t>
      </w:r>
      <w:r>
        <w:rPr>
          <w:rFonts w:ascii="Book Antiqua" w:hAnsi="Book Antiqua"/>
          <w:color w:val="000000" w:themeColor="text1"/>
        </w:rPr>
        <w:t xml:space="preserve">notes </w:t>
      </w:r>
      <w:r w:rsidR="003167F0">
        <w:rPr>
          <w:rFonts w:ascii="Book Antiqua" w:hAnsi="Book Antiqua"/>
          <w:color w:val="000000" w:themeColor="text1"/>
        </w:rPr>
        <w:t>the l</w:t>
      </w:r>
      <w:r>
        <w:rPr>
          <w:rFonts w:ascii="Book Antiqua" w:hAnsi="Book Antiqua"/>
          <w:color w:val="000000" w:themeColor="text1"/>
        </w:rPr>
        <w:t xml:space="preserve">ack of sufficient funding due to the current low scales as well as arrears of contributions. SACEP Governing Council meeting, thus, emphasizes the need for </w:t>
      </w:r>
      <w:r w:rsidR="004A65CE" w:rsidRPr="005515ED">
        <w:rPr>
          <w:rFonts w:ascii="Book Antiqua" w:hAnsi="Book Antiqua"/>
          <w:color w:val="000000" w:themeColor="text1"/>
        </w:rPr>
        <w:t>enhancement in member’s contributions</w:t>
      </w:r>
      <w:r w:rsidR="00501D9D">
        <w:rPr>
          <w:rFonts w:ascii="Book Antiqua" w:hAnsi="Book Antiqua"/>
          <w:color w:val="000000" w:themeColor="text1"/>
        </w:rPr>
        <w:t xml:space="preserve"> and</w:t>
      </w:r>
      <w:r w:rsidR="004A65CE" w:rsidRPr="00F16DEF">
        <w:rPr>
          <w:rFonts w:ascii="Book Antiqua" w:hAnsi="Book Antiqua"/>
          <w:color w:val="000000" w:themeColor="text1"/>
        </w:rPr>
        <w:t xml:space="preserve"> voluntary</w:t>
      </w:r>
      <w:r w:rsidRPr="005515ED">
        <w:rPr>
          <w:rFonts w:ascii="Book Antiqua" w:hAnsi="Book Antiqua"/>
          <w:color w:val="000000" w:themeColor="text1"/>
        </w:rPr>
        <w:t xml:space="preserve"> </w:t>
      </w:r>
      <w:r w:rsidR="00987DDF">
        <w:rPr>
          <w:rFonts w:ascii="Book Antiqua" w:hAnsi="Book Antiqua"/>
          <w:color w:val="000000" w:themeColor="text1"/>
        </w:rPr>
        <w:t xml:space="preserve">contributions to </w:t>
      </w:r>
      <w:r w:rsidR="004A65CE" w:rsidRPr="005515ED">
        <w:rPr>
          <w:rFonts w:ascii="Book Antiqua" w:hAnsi="Book Antiqua"/>
          <w:color w:val="000000" w:themeColor="text1"/>
        </w:rPr>
        <w:t>project activitie</w:t>
      </w:r>
      <w:r w:rsidR="00987DDF">
        <w:rPr>
          <w:rFonts w:ascii="Book Antiqua" w:hAnsi="Book Antiqua"/>
          <w:color w:val="000000" w:themeColor="text1"/>
        </w:rPr>
        <w:t xml:space="preserve">s and other </w:t>
      </w:r>
      <w:r w:rsidR="003167F0" w:rsidRPr="00F16DEF">
        <w:rPr>
          <w:rFonts w:ascii="Book Antiqua" w:hAnsi="Book Antiqua"/>
          <w:color w:val="000000" w:themeColor="text1"/>
        </w:rPr>
        <w:t>possibilities for strengthening the trust fund</w:t>
      </w:r>
      <w:r w:rsidR="00987DDF">
        <w:rPr>
          <w:rFonts w:ascii="Book Antiqua" w:hAnsi="Book Antiqua"/>
          <w:color w:val="000000" w:themeColor="text1"/>
        </w:rPr>
        <w:t>.</w:t>
      </w:r>
    </w:p>
    <w:p w14:paraId="797CC7E7" w14:textId="77777777" w:rsidR="00CC3A08" w:rsidRDefault="00CC3A08" w:rsidP="00143DC7">
      <w:pPr>
        <w:pStyle w:val="ListParagraph"/>
        <w:snapToGrid w:val="0"/>
        <w:spacing w:after="120" w:line="276" w:lineRule="auto"/>
        <w:ind w:left="0"/>
        <w:contextualSpacing w:val="0"/>
        <w:jc w:val="both"/>
        <w:rPr>
          <w:rFonts w:ascii="Book Antiqua" w:hAnsi="Book Antiqua"/>
          <w:b/>
          <w:bCs/>
          <w:i/>
          <w:iCs/>
          <w:color w:val="000000" w:themeColor="text1"/>
          <w:u w:val="single"/>
        </w:rPr>
      </w:pPr>
    </w:p>
    <w:p w14:paraId="23263442" w14:textId="149028E0" w:rsidR="000749C9" w:rsidRPr="007F10A4" w:rsidRDefault="00C63E8B" w:rsidP="00143DC7">
      <w:pPr>
        <w:pStyle w:val="ListParagraph"/>
        <w:snapToGrid w:val="0"/>
        <w:spacing w:after="120" w:line="276" w:lineRule="auto"/>
        <w:ind w:left="0"/>
        <w:contextualSpacing w:val="0"/>
        <w:jc w:val="both"/>
        <w:rPr>
          <w:rFonts w:ascii="Book Antiqua" w:hAnsi="Book Antiqua"/>
          <w:b/>
          <w:bCs/>
          <w:i/>
          <w:iCs/>
          <w:color w:val="000000" w:themeColor="text1"/>
          <w:u w:val="single"/>
        </w:rPr>
      </w:pPr>
      <w:r w:rsidRPr="00143DC7">
        <w:rPr>
          <w:rFonts w:ascii="Book Antiqua" w:hAnsi="Book Antiqua"/>
          <w:b/>
          <w:bCs/>
          <w:i/>
          <w:iCs/>
          <w:color w:val="000000" w:themeColor="text1"/>
          <w:u w:val="single"/>
        </w:rPr>
        <w:t xml:space="preserve">South </w:t>
      </w:r>
      <w:r w:rsidR="000749C9" w:rsidRPr="000749C9">
        <w:rPr>
          <w:rFonts w:ascii="Book Antiqua" w:hAnsi="Book Antiqua"/>
          <w:b/>
          <w:bCs/>
          <w:i/>
          <w:iCs/>
          <w:color w:val="000000" w:themeColor="text1"/>
          <w:u w:val="single"/>
        </w:rPr>
        <w:t>Pacific Regional Environment Programme (SPREP)</w:t>
      </w:r>
    </w:p>
    <w:p w14:paraId="1B901104" w14:textId="50208F92" w:rsidR="00563704" w:rsidRDefault="000749C9" w:rsidP="00563704">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sidRPr="00A86CD0">
        <w:rPr>
          <w:rFonts w:ascii="Book Antiqua" w:hAnsi="Book Antiqua"/>
          <w:color w:val="000000" w:themeColor="text1"/>
        </w:rPr>
        <w:t>SPREP</w:t>
      </w:r>
      <w:r w:rsidR="000762EB" w:rsidRPr="00A86CD0">
        <w:rPr>
          <w:rFonts w:ascii="Book Antiqua" w:hAnsi="Book Antiqua"/>
          <w:color w:val="000000" w:themeColor="text1"/>
        </w:rPr>
        <w:t xml:space="preserve"> </w:t>
      </w:r>
      <w:r w:rsidR="00F00BFB" w:rsidRPr="00563704">
        <w:rPr>
          <w:rFonts w:ascii="Book Antiqua" w:hAnsi="Book Antiqua"/>
          <w:color w:val="000000" w:themeColor="text1"/>
        </w:rPr>
        <w:t xml:space="preserve">was established in 1993 </w:t>
      </w:r>
      <w:r w:rsidR="00C63E8B" w:rsidRPr="00563704">
        <w:rPr>
          <w:rFonts w:ascii="Book Antiqua" w:hAnsi="Book Antiqua"/>
          <w:color w:val="000000" w:themeColor="text1"/>
        </w:rPr>
        <w:t>as a joint initiative of South Pacific Commission (SPC), South Pacific Bureau for Economic Cooperation (SPEC), ESCAP and UN</w:t>
      </w:r>
      <w:r w:rsidR="005C27A3">
        <w:rPr>
          <w:rFonts w:ascii="Book Antiqua" w:hAnsi="Book Antiqua"/>
          <w:color w:val="000000" w:themeColor="text1"/>
        </w:rPr>
        <w:t>E</w:t>
      </w:r>
      <w:r w:rsidR="0012442B">
        <w:rPr>
          <w:rFonts w:ascii="Book Antiqua" w:hAnsi="Book Antiqua"/>
          <w:color w:val="000000" w:themeColor="text1"/>
        </w:rPr>
        <w:t>P</w:t>
      </w:r>
      <w:r w:rsidR="00C63E8B" w:rsidRPr="00563704">
        <w:rPr>
          <w:rFonts w:ascii="Book Antiqua" w:hAnsi="Book Antiqua"/>
          <w:color w:val="000000" w:themeColor="text1"/>
        </w:rPr>
        <w:t xml:space="preserve">. </w:t>
      </w:r>
      <w:r w:rsidR="00563704">
        <w:rPr>
          <w:rFonts w:ascii="Book Antiqua" w:hAnsi="Book Antiqua"/>
          <w:color w:val="000000" w:themeColor="text1"/>
        </w:rPr>
        <w:t>L</w:t>
      </w:r>
      <w:r w:rsidR="00563704" w:rsidRPr="00A86CD0">
        <w:rPr>
          <w:rFonts w:ascii="Book Antiqua" w:hAnsi="Book Antiqua"/>
          <w:color w:val="000000" w:themeColor="text1"/>
        </w:rPr>
        <w:t>ocated in Samoa,</w:t>
      </w:r>
      <w:r w:rsidR="00563704">
        <w:rPr>
          <w:rFonts w:ascii="Book Antiqua" w:hAnsi="Book Antiqua"/>
          <w:color w:val="000000" w:themeColor="text1"/>
        </w:rPr>
        <w:t xml:space="preserve"> </w:t>
      </w:r>
      <w:r w:rsidR="00563704">
        <w:rPr>
          <w:rFonts w:ascii="Book Antiqua" w:hAnsi="Book Antiqua"/>
          <w:color w:val="000000" w:themeColor="text1"/>
        </w:rPr>
        <w:lastRenderedPageBreak/>
        <w:t>SPREP</w:t>
      </w:r>
      <w:r w:rsidR="00C63E8B" w:rsidRPr="00A86CD0">
        <w:rPr>
          <w:rFonts w:ascii="Book Antiqua" w:hAnsi="Book Antiqua"/>
          <w:color w:val="000000" w:themeColor="text1"/>
        </w:rPr>
        <w:t xml:space="preserve"> has 26 member </w:t>
      </w:r>
      <w:r w:rsidR="005C27A3">
        <w:rPr>
          <w:rFonts w:ascii="Book Antiqua" w:hAnsi="Book Antiqua"/>
          <w:color w:val="000000" w:themeColor="text1"/>
        </w:rPr>
        <w:t>States</w:t>
      </w:r>
      <w:r w:rsidR="00C63E8B" w:rsidRPr="00A86CD0">
        <w:rPr>
          <w:rFonts w:ascii="Book Antiqua" w:hAnsi="Book Antiqua"/>
          <w:color w:val="000000" w:themeColor="text1"/>
        </w:rPr>
        <w:t>, including</w:t>
      </w:r>
      <w:r w:rsidR="00C63E8B" w:rsidRPr="0036521B">
        <w:rPr>
          <w:rFonts w:ascii="Book Antiqua" w:hAnsi="Book Antiqua"/>
          <w:color w:val="000000" w:themeColor="text1"/>
        </w:rPr>
        <w:t xml:space="preserve"> 21 Pacific Islands Countries an</w:t>
      </w:r>
      <w:r w:rsidR="00C63E8B" w:rsidRPr="00563704">
        <w:rPr>
          <w:rFonts w:ascii="Book Antiqua" w:hAnsi="Book Antiqua"/>
          <w:color w:val="000000" w:themeColor="text1"/>
        </w:rPr>
        <w:t>d territories</w:t>
      </w:r>
      <w:r w:rsidR="00C9718C">
        <w:rPr>
          <w:rStyle w:val="FootnoteReference"/>
          <w:rFonts w:ascii="Book Antiqua" w:hAnsi="Book Antiqua"/>
          <w:color w:val="000000" w:themeColor="text1"/>
        </w:rPr>
        <w:footnoteReference w:id="8"/>
      </w:r>
      <w:r w:rsidR="00C63E8B" w:rsidRPr="00A86CD0">
        <w:rPr>
          <w:rFonts w:ascii="Book Antiqua" w:hAnsi="Book Antiqua"/>
          <w:color w:val="000000" w:themeColor="text1"/>
        </w:rPr>
        <w:t>, and 5 metropolitan countries</w:t>
      </w:r>
      <w:r w:rsidR="00C9718C">
        <w:rPr>
          <w:rStyle w:val="FootnoteReference"/>
          <w:rFonts w:ascii="Book Antiqua" w:hAnsi="Book Antiqua"/>
          <w:color w:val="000000" w:themeColor="text1"/>
        </w:rPr>
        <w:footnoteReference w:id="9"/>
      </w:r>
      <w:r w:rsidR="00C63E8B" w:rsidRPr="00A86CD0">
        <w:rPr>
          <w:rFonts w:ascii="Book Antiqua" w:hAnsi="Book Antiqua"/>
          <w:color w:val="000000" w:themeColor="text1"/>
        </w:rPr>
        <w:t xml:space="preserve">. </w:t>
      </w:r>
    </w:p>
    <w:p w14:paraId="18BF6215" w14:textId="291389E2" w:rsidR="00563704" w:rsidRDefault="00563704" w:rsidP="00563704">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sidRPr="00A86CD0">
        <w:rPr>
          <w:rFonts w:ascii="Book Antiqua" w:hAnsi="Book Antiqua"/>
          <w:color w:val="000000" w:themeColor="text1"/>
        </w:rPr>
        <w:t>In term</w:t>
      </w:r>
      <w:r w:rsidRPr="0036521B">
        <w:rPr>
          <w:rFonts w:ascii="Book Antiqua" w:hAnsi="Book Antiqua"/>
          <w:color w:val="000000" w:themeColor="text1"/>
        </w:rPr>
        <w:t>s of financial arrangements, SPREP has made relatively significant pro</w:t>
      </w:r>
      <w:r w:rsidRPr="00305BF4">
        <w:rPr>
          <w:rFonts w:ascii="Book Antiqua" w:hAnsi="Book Antiqua"/>
          <w:color w:val="000000" w:themeColor="text1"/>
        </w:rPr>
        <w:t xml:space="preserve">gress compared with other subregional programmes in Asia and the Pacific. </w:t>
      </w:r>
      <w:r w:rsidRPr="00143DC7">
        <w:rPr>
          <w:rFonts w:ascii="Book Antiqua" w:hAnsi="Book Antiqua"/>
          <w:color w:val="000000" w:themeColor="text1"/>
        </w:rPr>
        <w:t>While a major</w:t>
      </w:r>
      <w:r>
        <w:rPr>
          <w:rFonts w:ascii="Book Antiqua" w:hAnsi="Book Antiqua"/>
          <w:color w:val="000000" w:themeColor="text1"/>
        </w:rPr>
        <w:t xml:space="preserve"> proportion of SPREP budget is project-based contributions from UN bodies and developed countries including its metropolitan countries, SPREP has four funding mechanisms as follows: </w:t>
      </w:r>
    </w:p>
    <w:p w14:paraId="517641A9" w14:textId="611B0CA7" w:rsidR="00563704" w:rsidRDefault="00563704" w:rsidP="00563704">
      <w:pPr>
        <w:pStyle w:val="ListParagraph"/>
        <w:numPr>
          <w:ilvl w:val="1"/>
          <w:numId w:val="2"/>
        </w:numPr>
        <w:snapToGrid w:val="0"/>
        <w:spacing w:after="120" w:line="276" w:lineRule="auto"/>
        <w:contextualSpacing w:val="0"/>
        <w:jc w:val="both"/>
        <w:rPr>
          <w:rFonts w:ascii="Book Antiqua" w:hAnsi="Book Antiqua"/>
          <w:color w:val="000000" w:themeColor="text1"/>
        </w:rPr>
      </w:pPr>
      <w:r w:rsidRPr="00143DC7">
        <w:rPr>
          <w:rFonts w:ascii="Book Antiqua" w:hAnsi="Book Antiqua"/>
          <w:b/>
          <w:bCs/>
          <w:color w:val="000000" w:themeColor="text1"/>
        </w:rPr>
        <w:t>Core fund</w:t>
      </w:r>
      <w:r w:rsidR="00276556">
        <w:rPr>
          <w:rFonts w:ascii="Book Antiqua" w:hAnsi="Book Antiqua"/>
          <w:color w:val="000000" w:themeColor="text1"/>
        </w:rPr>
        <w:t xml:space="preserve">, </w:t>
      </w:r>
      <w:r w:rsidR="00787FDA">
        <w:rPr>
          <w:rFonts w:ascii="Book Antiqua" w:hAnsi="Book Antiqua"/>
          <w:color w:val="000000" w:themeColor="text1"/>
        </w:rPr>
        <w:t xml:space="preserve">based on annual contributions of member countries, following the agreed scale of </w:t>
      </w:r>
      <w:proofErr w:type="gramStart"/>
      <w:r w:rsidR="00787FDA">
        <w:rPr>
          <w:rFonts w:ascii="Book Antiqua" w:hAnsi="Book Antiqua"/>
          <w:color w:val="000000" w:themeColor="text1"/>
        </w:rPr>
        <w:t>assessment;</w:t>
      </w:r>
      <w:proofErr w:type="gramEnd"/>
    </w:p>
    <w:p w14:paraId="00BFAA79" w14:textId="6802EAAB" w:rsidR="00563704" w:rsidRDefault="00563704" w:rsidP="00563704">
      <w:pPr>
        <w:pStyle w:val="ListParagraph"/>
        <w:numPr>
          <w:ilvl w:val="1"/>
          <w:numId w:val="2"/>
        </w:numPr>
        <w:snapToGrid w:val="0"/>
        <w:spacing w:after="120" w:line="276" w:lineRule="auto"/>
        <w:contextualSpacing w:val="0"/>
        <w:jc w:val="both"/>
        <w:rPr>
          <w:rFonts w:ascii="Book Antiqua" w:hAnsi="Book Antiqua"/>
          <w:color w:val="000000" w:themeColor="text1"/>
        </w:rPr>
      </w:pPr>
      <w:r w:rsidRPr="00143DC7">
        <w:rPr>
          <w:rFonts w:ascii="Book Antiqua" w:hAnsi="Book Antiqua"/>
          <w:b/>
          <w:bCs/>
          <w:color w:val="000000" w:themeColor="text1"/>
        </w:rPr>
        <w:t xml:space="preserve">Programme </w:t>
      </w:r>
      <w:r w:rsidR="00787FDA">
        <w:rPr>
          <w:rFonts w:ascii="Book Antiqua" w:hAnsi="Book Antiqua"/>
          <w:b/>
          <w:bCs/>
          <w:color w:val="000000" w:themeColor="text1"/>
        </w:rPr>
        <w:t>f</w:t>
      </w:r>
      <w:r w:rsidRPr="00143DC7">
        <w:rPr>
          <w:rFonts w:ascii="Book Antiqua" w:hAnsi="Book Antiqua"/>
          <w:b/>
          <w:bCs/>
          <w:color w:val="000000" w:themeColor="text1"/>
        </w:rPr>
        <w:t>und</w:t>
      </w:r>
      <w:r w:rsidR="00787FDA">
        <w:rPr>
          <w:rFonts w:ascii="Book Antiqua" w:hAnsi="Book Antiqua"/>
          <w:color w:val="000000" w:themeColor="text1"/>
        </w:rPr>
        <w:t xml:space="preserve">, based on donors’ contributions for specific </w:t>
      </w:r>
      <w:proofErr w:type="gramStart"/>
      <w:r w:rsidR="00787FDA">
        <w:rPr>
          <w:rFonts w:ascii="Book Antiqua" w:hAnsi="Book Antiqua"/>
          <w:color w:val="000000" w:themeColor="text1"/>
        </w:rPr>
        <w:t>activities;</w:t>
      </w:r>
      <w:proofErr w:type="gramEnd"/>
      <w:r w:rsidR="00787FDA">
        <w:rPr>
          <w:rFonts w:ascii="Book Antiqua" w:hAnsi="Book Antiqua"/>
          <w:color w:val="000000" w:themeColor="text1"/>
        </w:rPr>
        <w:t xml:space="preserve"> </w:t>
      </w:r>
    </w:p>
    <w:p w14:paraId="02F55781" w14:textId="4DE2D7BC" w:rsidR="00563704" w:rsidRDefault="00563704" w:rsidP="00563704">
      <w:pPr>
        <w:pStyle w:val="ListParagraph"/>
        <w:numPr>
          <w:ilvl w:val="1"/>
          <w:numId w:val="2"/>
        </w:numPr>
        <w:snapToGrid w:val="0"/>
        <w:spacing w:after="120" w:line="276" w:lineRule="auto"/>
        <w:contextualSpacing w:val="0"/>
        <w:jc w:val="both"/>
        <w:rPr>
          <w:rFonts w:ascii="Book Antiqua" w:hAnsi="Book Antiqua"/>
          <w:color w:val="000000" w:themeColor="text1"/>
        </w:rPr>
      </w:pPr>
      <w:r w:rsidRPr="00143DC7">
        <w:rPr>
          <w:rFonts w:ascii="Book Antiqua" w:hAnsi="Book Antiqua"/>
          <w:b/>
          <w:bCs/>
          <w:color w:val="000000" w:themeColor="text1"/>
        </w:rPr>
        <w:t xml:space="preserve">Reserve </w:t>
      </w:r>
      <w:r w:rsidR="00787FDA" w:rsidRPr="00143DC7">
        <w:rPr>
          <w:rFonts w:ascii="Book Antiqua" w:hAnsi="Book Antiqua"/>
          <w:b/>
          <w:bCs/>
          <w:color w:val="000000" w:themeColor="text1"/>
        </w:rPr>
        <w:t>f</w:t>
      </w:r>
      <w:r w:rsidRPr="00143DC7">
        <w:rPr>
          <w:rFonts w:ascii="Book Antiqua" w:hAnsi="Book Antiqua"/>
          <w:b/>
          <w:bCs/>
          <w:color w:val="000000" w:themeColor="text1"/>
        </w:rPr>
        <w:t>und</w:t>
      </w:r>
      <w:r w:rsidR="00787FDA">
        <w:rPr>
          <w:rFonts w:ascii="Book Antiqua" w:hAnsi="Book Antiqua"/>
          <w:color w:val="000000" w:themeColor="text1"/>
        </w:rPr>
        <w:t xml:space="preserve">, for unforeseen circumstances; and </w:t>
      </w:r>
    </w:p>
    <w:p w14:paraId="757A3C36" w14:textId="786FEDF0" w:rsidR="00563704" w:rsidRDefault="00563704" w:rsidP="00563704">
      <w:pPr>
        <w:pStyle w:val="ListParagraph"/>
        <w:numPr>
          <w:ilvl w:val="1"/>
          <w:numId w:val="2"/>
        </w:numPr>
        <w:snapToGrid w:val="0"/>
        <w:spacing w:after="120" w:line="276" w:lineRule="auto"/>
        <w:contextualSpacing w:val="0"/>
        <w:jc w:val="both"/>
        <w:rPr>
          <w:rFonts w:ascii="Book Antiqua" w:hAnsi="Book Antiqua"/>
          <w:color w:val="000000" w:themeColor="text1"/>
        </w:rPr>
      </w:pPr>
      <w:r w:rsidRPr="00143DC7">
        <w:rPr>
          <w:rFonts w:ascii="Book Antiqua" w:hAnsi="Book Antiqua"/>
          <w:b/>
          <w:bCs/>
          <w:color w:val="000000" w:themeColor="text1"/>
        </w:rPr>
        <w:t xml:space="preserve">Pacific Islands Trust </w:t>
      </w:r>
      <w:r w:rsidR="00787FDA" w:rsidRPr="00143DC7">
        <w:rPr>
          <w:rFonts w:ascii="Book Antiqua" w:hAnsi="Book Antiqua"/>
          <w:b/>
          <w:bCs/>
          <w:color w:val="000000" w:themeColor="text1"/>
        </w:rPr>
        <w:t>f</w:t>
      </w:r>
      <w:r w:rsidRPr="00143DC7">
        <w:rPr>
          <w:rFonts w:ascii="Book Antiqua" w:hAnsi="Book Antiqua"/>
          <w:b/>
          <w:bCs/>
          <w:color w:val="000000" w:themeColor="text1"/>
        </w:rPr>
        <w:t>und</w:t>
      </w:r>
      <w:r w:rsidR="00787FDA">
        <w:rPr>
          <w:rFonts w:ascii="Book Antiqua" w:hAnsi="Book Antiqua"/>
          <w:color w:val="000000" w:themeColor="text1"/>
        </w:rPr>
        <w:t xml:space="preserve">, to support the implementation of National Biodiversity Strategies and Action Plans. </w:t>
      </w:r>
    </w:p>
    <w:p w14:paraId="68247313" w14:textId="5D1B6B94" w:rsidR="00CC3A08" w:rsidRPr="00CC3A08" w:rsidRDefault="00A86CD0" w:rsidP="00CC3A08">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Pr>
          <w:rFonts w:ascii="Book Antiqua" w:hAnsi="Book Antiqua"/>
          <w:color w:val="000000" w:themeColor="text1"/>
        </w:rPr>
        <w:t>The approved biennial budget for 2020 and 2021 is US$ 67</w:t>
      </w:r>
      <w:r w:rsidR="00F528F5">
        <w:rPr>
          <w:rFonts w:ascii="Book Antiqua" w:hAnsi="Book Antiqua"/>
          <w:color w:val="000000" w:themeColor="text1"/>
        </w:rPr>
        <w:t xml:space="preserve"> </w:t>
      </w:r>
      <w:r w:rsidR="000260D7">
        <w:rPr>
          <w:rFonts w:ascii="Book Antiqua" w:hAnsi="Book Antiqua"/>
          <w:color w:val="000000" w:themeColor="text1"/>
        </w:rPr>
        <w:t>million</w:t>
      </w:r>
      <w:r>
        <w:rPr>
          <w:rFonts w:ascii="Book Antiqua" w:hAnsi="Book Antiqua"/>
          <w:color w:val="000000" w:themeColor="text1"/>
        </w:rPr>
        <w:t>, including core budget of US$ 2</w:t>
      </w:r>
      <w:r w:rsidR="000260D7">
        <w:rPr>
          <w:rFonts w:ascii="Book Antiqua" w:hAnsi="Book Antiqua"/>
          <w:color w:val="000000" w:themeColor="text1"/>
        </w:rPr>
        <w:t>.5 million</w:t>
      </w:r>
      <w:r>
        <w:rPr>
          <w:rFonts w:ascii="Book Antiqua" w:hAnsi="Book Antiqua"/>
          <w:color w:val="000000" w:themeColor="text1"/>
        </w:rPr>
        <w:t xml:space="preserve"> and external funding of US$ 59</w:t>
      </w:r>
      <w:r w:rsidR="00CA7E1D">
        <w:rPr>
          <w:rFonts w:ascii="Book Antiqua" w:hAnsi="Book Antiqua"/>
          <w:color w:val="000000" w:themeColor="text1"/>
        </w:rPr>
        <w:t>.7 million</w:t>
      </w:r>
      <w:r>
        <w:rPr>
          <w:rFonts w:ascii="Book Antiqua" w:hAnsi="Book Antiqua"/>
          <w:color w:val="000000" w:themeColor="text1"/>
        </w:rPr>
        <w:t xml:space="preserve">. </w:t>
      </w:r>
      <w:r w:rsidR="00F528F5">
        <w:rPr>
          <w:rFonts w:ascii="Book Antiqua" w:hAnsi="Book Antiqua"/>
          <w:color w:val="000000" w:themeColor="text1"/>
        </w:rPr>
        <w:t xml:space="preserve">The secretariat consists of about 150 staff members. </w:t>
      </w:r>
    </w:p>
    <w:p w14:paraId="630F7875" w14:textId="7CB77F20" w:rsidR="00787FDA" w:rsidRPr="00D774CF" w:rsidRDefault="007D5D7C" w:rsidP="00501D9D">
      <w:pPr>
        <w:pStyle w:val="ListParagraph"/>
        <w:snapToGrid w:val="0"/>
        <w:spacing w:after="120" w:line="276" w:lineRule="auto"/>
        <w:ind w:left="0"/>
        <w:contextualSpacing w:val="0"/>
        <w:jc w:val="center"/>
        <w:rPr>
          <w:rFonts w:ascii="Book Antiqua" w:hAnsi="Book Antiqua"/>
        </w:rPr>
      </w:pPr>
      <w:r w:rsidRPr="00D774CF">
        <w:rPr>
          <w:b/>
          <w:bCs/>
        </w:rPr>
        <w:t>Figure 1</w:t>
      </w:r>
      <w:r w:rsidR="00761676" w:rsidRPr="00D774CF">
        <w:rPr>
          <w:b/>
          <w:bCs/>
        </w:rPr>
        <w:t xml:space="preserve">. </w:t>
      </w:r>
      <w:r w:rsidR="00A86CD0" w:rsidRPr="00D774CF">
        <w:rPr>
          <w:b/>
          <w:bCs/>
        </w:rPr>
        <w:t>Funding composition</w:t>
      </w:r>
      <w:r w:rsidR="00FB5C5B">
        <w:rPr>
          <w:b/>
          <w:bCs/>
        </w:rPr>
        <w:t xml:space="preserve"> of SPREP</w:t>
      </w:r>
      <w:r w:rsidR="00A86CD0" w:rsidRPr="00D774CF">
        <w:rPr>
          <w:b/>
          <w:bCs/>
        </w:rPr>
        <w:t xml:space="preserve"> for 2020-2021</w:t>
      </w:r>
    </w:p>
    <w:p w14:paraId="111020A0" w14:textId="3657ACAD" w:rsidR="00761676" w:rsidRDefault="0036521B" w:rsidP="00501D9D">
      <w:pPr>
        <w:pStyle w:val="ListParagraph"/>
        <w:jc w:val="center"/>
        <w:rPr>
          <w:rFonts w:ascii="Book Antiqua" w:hAnsi="Book Antiqua"/>
          <w:color w:val="000000" w:themeColor="text1"/>
        </w:rPr>
      </w:pPr>
      <w:r>
        <w:rPr>
          <w:noProof/>
        </w:rPr>
        <w:drawing>
          <wp:inline distT="0" distB="0" distL="0" distR="0" wp14:anchorId="4AED8E2B" wp14:editId="1673F0E6">
            <wp:extent cx="3938588" cy="2890838"/>
            <wp:effectExtent l="0" t="0" r="5080" b="5080"/>
            <wp:docPr id="2" name="Chart 2">
              <a:extLst xmlns:a="http://schemas.openxmlformats.org/drawingml/2006/main">
                <a:ext uri="{FF2B5EF4-FFF2-40B4-BE49-F238E27FC236}">
                  <a16:creationId xmlns:a16="http://schemas.microsoft.com/office/drawing/2014/main" id="{8772C5C8-A024-4F04-9D79-7160F7E58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EDD7D9" w14:textId="323ADDC7" w:rsidR="00C45C15" w:rsidRPr="00143DC7" w:rsidRDefault="00761676" w:rsidP="00501D9D">
      <w:pPr>
        <w:snapToGrid w:val="0"/>
        <w:spacing w:after="0" w:line="276" w:lineRule="auto"/>
        <w:jc w:val="center"/>
        <w:rPr>
          <w:rFonts w:ascii="Calibri" w:hAnsi="Calibri" w:cs="Calibri"/>
          <w:color w:val="000000" w:themeColor="text1"/>
          <w:sz w:val="18"/>
          <w:szCs w:val="18"/>
        </w:rPr>
      </w:pPr>
      <w:r w:rsidRPr="00143DC7">
        <w:rPr>
          <w:rFonts w:ascii="Calibri" w:hAnsi="Calibri" w:cs="Calibri"/>
          <w:color w:val="000000" w:themeColor="text1"/>
          <w:sz w:val="18"/>
          <w:szCs w:val="18"/>
        </w:rPr>
        <w:t xml:space="preserve">Source: </w:t>
      </w:r>
      <w:hyperlink r:id="rId15" w:history="1">
        <w:r w:rsidR="00787FDA" w:rsidRPr="00143DC7">
          <w:rPr>
            <w:rStyle w:val="Hyperlink"/>
            <w:rFonts w:ascii="Calibri" w:hAnsi="Calibri" w:cs="Calibri"/>
            <w:sz w:val="18"/>
            <w:szCs w:val="18"/>
          </w:rPr>
          <w:t>https://www.sprep.org/sites/default/files/documents/circulars/Cir19-70_Approved_SPREP_WPBiennial_Budget.pdf</w:t>
        </w:r>
      </w:hyperlink>
    </w:p>
    <w:p w14:paraId="1856B084" w14:textId="0614280C" w:rsidR="0036521B" w:rsidRDefault="0036521B" w:rsidP="00D5037C">
      <w:pPr>
        <w:rPr>
          <w:rFonts w:ascii="Book Antiqua" w:hAnsi="Book Antiqua"/>
          <w:color w:val="000000" w:themeColor="text1"/>
          <w:sz w:val="20"/>
          <w:szCs w:val="20"/>
        </w:rPr>
      </w:pPr>
    </w:p>
    <w:p w14:paraId="4E50F986" w14:textId="77777777" w:rsidR="003061AB" w:rsidRDefault="003061AB" w:rsidP="00D5037C">
      <w:pPr>
        <w:rPr>
          <w:rFonts w:ascii="Book Antiqua" w:hAnsi="Book Antiqua"/>
          <w:color w:val="000000" w:themeColor="text1"/>
          <w:sz w:val="20"/>
          <w:szCs w:val="20"/>
        </w:rPr>
      </w:pPr>
    </w:p>
    <w:p w14:paraId="1B60186D" w14:textId="2AA98C75" w:rsidR="00CC3A08" w:rsidRPr="003061AB" w:rsidRDefault="00CC3A08" w:rsidP="003061AB">
      <w:pPr>
        <w:pStyle w:val="ListParagraph"/>
        <w:snapToGrid w:val="0"/>
        <w:spacing w:after="120" w:line="276" w:lineRule="auto"/>
        <w:ind w:left="0"/>
        <w:contextualSpacing w:val="0"/>
        <w:jc w:val="center"/>
        <w:rPr>
          <w:rFonts w:cstheme="minorHAnsi"/>
          <w:b/>
          <w:bCs/>
          <w:color w:val="000000" w:themeColor="text1"/>
        </w:rPr>
      </w:pPr>
      <w:r w:rsidRPr="003061AB">
        <w:rPr>
          <w:rFonts w:cstheme="minorHAnsi"/>
          <w:b/>
          <w:bCs/>
          <w:color w:val="000000" w:themeColor="text1"/>
        </w:rPr>
        <w:lastRenderedPageBreak/>
        <w:t>Table 4. SPREP approved scale of country contribution</w:t>
      </w:r>
    </w:p>
    <w:tbl>
      <w:tblPr>
        <w:tblStyle w:val="TableGrid"/>
        <w:tblW w:w="9858" w:type="dxa"/>
        <w:jc w:val="center"/>
        <w:tblLook w:val="04A0" w:firstRow="1" w:lastRow="0" w:firstColumn="1" w:lastColumn="0" w:noHBand="0" w:noVBand="1"/>
      </w:tblPr>
      <w:tblGrid>
        <w:gridCol w:w="1885"/>
        <w:gridCol w:w="4183"/>
        <w:gridCol w:w="3790"/>
      </w:tblGrid>
      <w:tr w:rsidR="007D5D7C" w14:paraId="7CBC9223" w14:textId="1521A5C0" w:rsidTr="00133AEC">
        <w:trPr>
          <w:trHeight w:val="778"/>
          <w:jc w:val="center"/>
        </w:trPr>
        <w:tc>
          <w:tcPr>
            <w:tcW w:w="6068" w:type="dxa"/>
            <w:gridSpan w:val="2"/>
          </w:tcPr>
          <w:p w14:paraId="5E83AE24" w14:textId="6E823900" w:rsidR="007D5D7C" w:rsidRPr="00F16DEF" w:rsidRDefault="007D5D7C" w:rsidP="00CC3A08">
            <w:pPr>
              <w:pStyle w:val="ListParagraph"/>
              <w:snapToGrid w:val="0"/>
              <w:spacing w:line="276" w:lineRule="auto"/>
              <w:ind w:left="0"/>
              <w:contextualSpacing w:val="0"/>
              <w:jc w:val="center"/>
              <w:rPr>
                <w:rFonts w:ascii="Calibri" w:hAnsi="Calibri" w:cs="Calibri"/>
                <w:b/>
                <w:bCs/>
                <w:color w:val="000000" w:themeColor="text1"/>
              </w:rPr>
            </w:pPr>
            <w:r w:rsidRPr="00F16DEF">
              <w:rPr>
                <w:rFonts w:ascii="Calibri" w:hAnsi="Calibri" w:cs="Calibri"/>
                <w:b/>
                <w:bCs/>
                <w:color w:val="000000" w:themeColor="text1"/>
              </w:rPr>
              <w:t>Group</w:t>
            </w:r>
          </w:p>
        </w:tc>
        <w:tc>
          <w:tcPr>
            <w:tcW w:w="3790" w:type="dxa"/>
          </w:tcPr>
          <w:p w14:paraId="46E0783D" w14:textId="14D1A971" w:rsidR="007D5D7C" w:rsidRPr="00F16DEF" w:rsidRDefault="007D5D7C" w:rsidP="00CC3A08">
            <w:pPr>
              <w:pStyle w:val="ListParagraph"/>
              <w:snapToGrid w:val="0"/>
              <w:spacing w:line="276" w:lineRule="auto"/>
              <w:ind w:left="0"/>
              <w:contextualSpacing w:val="0"/>
              <w:jc w:val="center"/>
              <w:rPr>
                <w:rFonts w:ascii="Calibri" w:hAnsi="Calibri" w:cs="Calibri"/>
                <w:b/>
                <w:bCs/>
                <w:color w:val="000000" w:themeColor="text1"/>
              </w:rPr>
            </w:pPr>
            <w:r w:rsidRPr="00F16DEF">
              <w:rPr>
                <w:rFonts w:ascii="Calibri" w:hAnsi="Calibri" w:cs="Calibri"/>
                <w:b/>
                <w:bCs/>
                <w:color w:val="000000" w:themeColor="text1"/>
              </w:rPr>
              <w:t>Annual contribution (US</w:t>
            </w:r>
            <w:r w:rsidR="008134B2">
              <w:rPr>
                <w:rFonts w:ascii="Calibri" w:hAnsi="Calibri" w:cs="Calibri"/>
                <w:b/>
                <w:bCs/>
                <w:color w:val="000000" w:themeColor="text1"/>
              </w:rPr>
              <w:t>$</w:t>
            </w:r>
            <w:r w:rsidRPr="00F16DEF">
              <w:rPr>
                <w:rFonts w:ascii="Calibri" w:hAnsi="Calibri" w:cs="Calibri"/>
                <w:b/>
                <w:bCs/>
                <w:color w:val="000000" w:themeColor="text1"/>
              </w:rPr>
              <w:t>)</w:t>
            </w:r>
            <w:r w:rsidR="00A96D77">
              <w:rPr>
                <w:rFonts w:ascii="Calibri" w:hAnsi="Calibri" w:cs="Calibri"/>
                <w:b/>
                <w:bCs/>
                <w:color w:val="000000" w:themeColor="text1"/>
              </w:rPr>
              <w:t xml:space="preserve"> from each country</w:t>
            </w:r>
          </w:p>
        </w:tc>
      </w:tr>
      <w:tr w:rsidR="007D5D7C" w14:paraId="69264B44" w14:textId="2C718C8F" w:rsidTr="00654F2D">
        <w:trPr>
          <w:trHeight w:val="1563"/>
          <w:jc w:val="center"/>
        </w:trPr>
        <w:tc>
          <w:tcPr>
            <w:tcW w:w="1885" w:type="dxa"/>
            <w:vMerge w:val="restart"/>
          </w:tcPr>
          <w:p w14:paraId="693F3A9B" w14:textId="5DC8D469" w:rsidR="007D5D7C" w:rsidRPr="00F16DEF" w:rsidRDefault="007D5D7C" w:rsidP="00F16DEF">
            <w:pPr>
              <w:pStyle w:val="ListParagraph"/>
              <w:snapToGrid w:val="0"/>
              <w:spacing w:line="276" w:lineRule="auto"/>
              <w:ind w:left="0"/>
              <w:contextualSpacing w:val="0"/>
              <w:rPr>
                <w:rFonts w:ascii="Calibri" w:hAnsi="Calibri" w:cs="Calibri"/>
                <w:b/>
                <w:bCs/>
                <w:color w:val="000000" w:themeColor="text1"/>
              </w:rPr>
            </w:pPr>
            <w:r w:rsidRPr="00F16DEF">
              <w:rPr>
                <w:rFonts w:ascii="Calibri" w:hAnsi="Calibri" w:cs="Calibri"/>
                <w:b/>
                <w:bCs/>
                <w:color w:val="000000" w:themeColor="text1"/>
              </w:rPr>
              <w:t>Pacific Islands Countries (21)</w:t>
            </w:r>
          </w:p>
        </w:tc>
        <w:tc>
          <w:tcPr>
            <w:tcW w:w="4183" w:type="dxa"/>
          </w:tcPr>
          <w:p w14:paraId="39B829BF" w14:textId="7CE0843E" w:rsidR="007D5D7C" w:rsidRPr="00F16DEF" w:rsidRDefault="007D5D7C" w:rsidP="00F16DEF">
            <w:pPr>
              <w:pStyle w:val="ListParagraph"/>
              <w:snapToGrid w:val="0"/>
              <w:spacing w:line="276" w:lineRule="auto"/>
              <w:ind w:left="0"/>
              <w:contextualSpacing w:val="0"/>
              <w:rPr>
                <w:rFonts w:ascii="Calibri" w:hAnsi="Calibri" w:cs="Calibri"/>
                <w:color w:val="000000" w:themeColor="text1"/>
              </w:rPr>
            </w:pPr>
            <w:r w:rsidRPr="00F16DEF">
              <w:rPr>
                <w:rFonts w:ascii="Calibri" w:hAnsi="Calibri" w:cs="Calibri"/>
                <w:color w:val="000000" w:themeColor="text1"/>
              </w:rPr>
              <w:t xml:space="preserve">American Samoa; Cook Islands; Federated States of Micronesia; Kiribati; Marshall Islands; </w:t>
            </w:r>
            <w:r>
              <w:rPr>
                <w:rFonts w:ascii="Calibri" w:hAnsi="Calibri" w:cs="Calibri"/>
                <w:color w:val="000000" w:themeColor="text1"/>
              </w:rPr>
              <w:t>N</w:t>
            </w:r>
            <w:r w:rsidRPr="00F16DEF">
              <w:rPr>
                <w:rFonts w:ascii="Calibri" w:hAnsi="Calibri" w:cs="Calibri"/>
                <w:color w:val="000000" w:themeColor="text1"/>
              </w:rPr>
              <w:t>auru; Niue; Northern Marianas; Palau; Tokelau; Tonga; Tuvalu; and Wallis and Futuna Islands (13 countries)</w:t>
            </w:r>
          </w:p>
        </w:tc>
        <w:tc>
          <w:tcPr>
            <w:tcW w:w="3790" w:type="dxa"/>
          </w:tcPr>
          <w:p w14:paraId="1B2A1FF8" w14:textId="36A8DF13" w:rsidR="007D5D7C" w:rsidRPr="00F16DEF" w:rsidRDefault="007D5D7C" w:rsidP="00F16DEF">
            <w:pPr>
              <w:pStyle w:val="ListParagraph"/>
              <w:snapToGrid w:val="0"/>
              <w:spacing w:line="276" w:lineRule="auto"/>
              <w:ind w:left="0"/>
              <w:contextualSpacing w:val="0"/>
              <w:rPr>
                <w:rFonts w:ascii="Calibri" w:hAnsi="Calibri" w:cs="Calibri"/>
                <w:color w:val="000000" w:themeColor="text1"/>
              </w:rPr>
            </w:pPr>
            <w:r w:rsidRPr="00F16DEF">
              <w:rPr>
                <w:rFonts w:ascii="Calibri" w:hAnsi="Calibri" w:cs="Calibri"/>
                <w:color w:val="000000" w:themeColor="text1"/>
              </w:rPr>
              <w:t>10,184 (0.95%)</w:t>
            </w:r>
            <w:r w:rsidR="00A96D77">
              <w:rPr>
                <w:rFonts w:ascii="Calibri" w:hAnsi="Calibri" w:cs="Calibri"/>
                <w:color w:val="000000" w:themeColor="text1"/>
              </w:rPr>
              <w:t xml:space="preserve"> </w:t>
            </w:r>
          </w:p>
        </w:tc>
      </w:tr>
      <w:tr w:rsidR="007D5D7C" w14:paraId="628DA456" w14:textId="77777777" w:rsidTr="00654F2D">
        <w:trPr>
          <w:trHeight w:val="843"/>
          <w:jc w:val="center"/>
        </w:trPr>
        <w:tc>
          <w:tcPr>
            <w:tcW w:w="1885" w:type="dxa"/>
            <w:vMerge/>
          </w:tcPr>
          <w:p w14:paraId="29AAF7B3" w14:textId="77777777" w:rsidR="007D5D7C" w:rsidRPr="00F16DEF" w:rsidRDefault="007D5D7C" w:rsidP="00F16DEF">
            <w:pPr>
              <w:pStyle w:val="ListParagraph"/>
              <w:snapToGrid w:val="0"/>
              <w:spacing w:line="276" w:lineRule="auto"/>
              <w:ind w:left="0"/>
              <w:contextualSpacing w:val="0"/>
              <w:rPr>
                <w:rFonts w:ascii="Calibri" w:hAnsi="Calibri" w:cs="Calibri"/>
                <w:b/>
                <w:bCs/>
                <w:color w:val="000000" w:themeColor="text1"/>
              </w:rPr>
            </w:pPr>
          </w:p>
        </w:tc>
        <w:tc>
          <w:tcPr>
            <w:tcW w:w="4183" w:type="dxa"/>
          </w:tcPr>
          <w:p w14:paraId="1EED4DB8" w14:textId="45E80A17" w:rsidR="007D5D7C" w:rsidRPr="00F16DEF" w:rsidRDefault="007D5D7C" w:rsidP="00F16DEF">
            <w:pPr>
              <w:pStyle w:val="ListParagraph"/>
              <w:snapToGrid w:val="0"/>
              <w:spacing w:line="276" w:lineRule="auto"/>
              <w:ind w:left="0"/>
              <w:contextualSpacing w:val="0"/>
              <w:rPr>
                <w:rFonts w:ascii="Calibri" w:hAnsi="Calibri" w:cs="Calibri"/>
                <w:color w:val="000000" w:themeColor="text1"/>
              </w:rPr>
            </w:pPr>
            <w:r w:rsidRPr="00F16DEF">
              <w:rPr>
                <w:rFonts w:ascii="Calibri" w:hAnsi="Calibri" w:cs="Calibri"/>
                <w:color w:val="000000" w:themeColor="text1"/>
              </w:rPr>
              <w:t>Fiji; French Polynesia; Guam; New Caledonia; Papua New Guinea; Samoa; Solomon Islands; and Vanuatu (8 Countries)</w:t>
            </w:r>
          </w:p>
        </w:tc>
        <w:tc>
          <w:tcPr>
            <w:tcW w:w="3790" w:type="dxa"/>
          </w:tcPr>
          <w:p w14:paraId="10CB4E75" w14:textId="2B15A678" w:rsidR="007D5D7C" w:rsidRPr="00F16DEF" w:rsidRDefault="007D5D7C" w:rsidP="00F16DEF">
            <w:pPr>
              <w:pStyle w:val="ListParagraph"/>
              <w:snapToGrid w:val="0"/>
              <w:spacing w:line="276" w:lineRule="auto"/>
              <w:ind w:left="0"/>
              <w:contextualSpacing w:val="0"/>
              <w:rPr>
                <w:rFonts w:ascii="Calibri" w:hAnsi="Calibri" w:cs="Calibri"/>
                <w:color w:val="000000" w:themeColor="text1"/>
              </w:rPr>
            </w:pPr>
            <w:r w:rsidRPr="00F16DEF">
              <w:rPr>
                <w:rFonts w:ascii="Calibri" w:hAnsi="Calibri" w:cs="Calibri"/>
                <w:color w:val="000000" w:themeColor="text1"/>
              </w:rPr>
              <w:t>20,360 (1.9%)</w:t>
            </w:r>
            <w:r w:rsidR="00A96D77">
              <w:rPr>
                <w:rFonts w:ascii="Calibri" w:hAnsi="Calibri" w:cs="Calibri"/>
                <w:color w:val="000000" w:themeColor="text1"/>
              </w:rPr>
              <w:t xml:space="preserve"> </w:t>
            </w:r>
          </w:p>
        </w:tc>
      </w:tr>
      <w:tr w:rsidR="007D5D7C" w14:paraId="7CED1F6E" w14:textId="3A1934A7" w:rsidTr="00F82013">
        <w:trPr>
          <w:trHeight w:val="379"/>
          <w:jc w:val="center"/>
        </w:trPr>
        <w:tc>
          <w:tcPr>
            <w:tcW w:w="1885" w:type="dxa"/>
            <w:vMerge w:val="restart"/>
          </w:tcPr>
          <w:p w14:paraId="7D226975" w14:textId="1A27009A" w:rsidR="007D5D7C" w:rsidRPr="00F16DEF" w:rsidRDefault="007D5D7C" w:rsidP="00F16DEF">
            <w:pPr>
              <w:pStyle w:val="ListParagraph"/>
              <w:snapToGrid w:val="0"/>
              <w:spacing w:line="276" w:lineRule="auto"/>
              <w:ind w:left="0"/>
              <w:contextualSpacing w:val="0"/>
              <w:rPr>
                <w:rFonts w:ascii="Calibri" w:hAnsi="Calibri" w:cs="Calibri"/>
                <w:b/>
                <w:bCs/>
                <w:color w:val="000000" w:themeColor="text1"/>
              </w:rPr>
            </w:pPr>
            <w:r w:rsidRPr="00F16DEF">
              <w:rPr>
                <w:rFonts w:ascii="Calibri" w:hAnsi="Calibri" w:cs="Calibri"/>
                <w:b/>
                <w:bCs/>
                <w:color w:val="000000" w:themeColor="text1"/>
              </w:rPr>
              <w:t>Metropolitan Countries (5)</w:t>
            </w:r>
          </w:p>
        </w:tc>
        <w:tc>
          <w:tcPr>
            <w:tcW w:w="4183" w:type="dxa"/>
          </w:tcPr>
          <w:p w14:paraId="2C34B414" w14:textId="78F030B3" w:rsidR="007D5D7C" w:rsidRPr="00F16DEF" w:rsidRDefault="007D5D7C" w:rsidP="00F16DEF">
            <w:pPr>
              <w:pStyle w:val="ListParagraph"/>
              <w:snapToGrid w:val="0"/>
              <w:spacing w:line="276" w:lineRule="auto"/>
              <w:ind w:left="0"/>
              <w:contextualSpacing w:val="0"/>
              <w:rPr>
                <w:rFonts w:ascii="Calibri" w:hAnsi="Calibri" w:cs="Calibri"/>
                <w:color w:val="000000" w:themeColor="text1"/>
              </w:rPr>
            </w:pPr>
            <w:r w:rsidRPr="00F16DEF">
              <w:rPr>
                <w:rFonts w:ascii="Calibri" w:hAnsi="Calibri" w:cs="Calibri"/>
                <w:color w:val="000000" w:themeColor="text1"/>
              </w:rPr>
              <w:t>France; New Zealand; and UK</w:t>
            </w:r>
          </w:p>
        </w:tc>
        <w:tc>
          <w:tcPr>
            <w:tcW w:w="3790" w:type="dxa"/>
          </w:tcPr>
          <w:p w14:paraId="7405B00C" w14:textId="5916155E" w:rsidR="007D5D7C" w:rsidRPr="00F16DEF" w:rsidRDefault="007D5D7C" w:rsidP="00F16DEF">
            <w:pPr>
              <w:pStyle w:val="ListParagraph"/>
              <w:snapToGrid w:val="0"/>
              <w:spacing w:line="276" w:lineRule="auto"/>
              <w:ind w:left="0"/>
              <w:contextualSpacing w:val="0"/>
              <w:rPr>
                <w:rFonts w:ascii="Calibri" w:hAnsi="Calibri" w:cs="Calibri"/>
                <w:color w:val="000000" w:themeColor="text1"/>
              </w:rPr>
            </w:pPr>
            <w:r w:rsidRPr="00F16DEF">
              <w:rPr>
                <w:rFonts w:ascii="Calibri" w:hAnsi="Calibri" w:cs="Calibri"/>
                <w:color w:val="000000" w:themeColor="text1"/>
              </w:rPr>
              <w:t>134,202 (12.55%)</w:t>
            </w:r>
          </w:p>
        </w:tc>
      </w:tr>
      <w:tr w:rsidR="007D5D7C" w14:paraId="4A577B8C" w14:textId="77777777" w:rsidTr="00F82013">
        <w:trPr>
          <w:trHeight w:val="417"/>
          <w:jc w:val="center"/>
        </w:trPr>
        <w:tc>
          <w:tcPr>
            <w:tcW w:w="1885" w:type="dxa"/>
            <w:vMerge/>
          </w:tcPr>
          <w:p w14:paraId="5CC3C171" w14:textId="77777777" w:rsidR="007D5D7C" w:rsidRPr="00F16DEF" w:rsidRDefault="007D5D7C" w:rsidP="00F16DEF">
            <w:pPr>
              <w:pStyle w:val="ListParagraph"/>
              <w:snapToGrid w:val="0"/>
              <w:spacing w:line="276" w:lineRule="auto"/>
              <w:ind w:left="0"/>
              <w:contextualSpacing w:val="0"/>
              <w:rPr>
                <w:rFonts w:ascii="Calibri" w:hAnsi="Calibri" w:cs="Calibri"/>
                <w:color w:val="000000" w:themeColor="text1"/>
              </w:rPr>
            </w:pPr>
          </w:p>
        </w:tc>
        <w:tc>
          <w:tcPr>
            <w:tcW w:w="4183" w:type="dxa"/>
          </w:tcPr>
          <w:p w14:paraId="5CE10655" w14:textId="0AC9CF06" w:rsidR="007D5D7C" w:rsidRPr="00F16DEF" w:rsidRDefault="007D5D7C" w:rsidP="00F16DEF">
            <w:pPr>
              <w:pStyle w:val="ListParagraph"/>
              <w:snapToGrid w:val="0"/>
              <w:spacing w:line="276" w:lineRule="auto"/>
              <w:ind w:left="0"/>
              <w:contextualSpacing w:val="0"/>
              <w:rPr>
                <w:rFonts w:ascii="Calibri" w:hAnsi="Calibri" w:cs="Calibri"/>
                <w:color w:val="000000" w:themeColor="text1"/>
              </w:rPr>
            </w:pPr>
            <w:r w:rsidRPr="00F16DEF">
              <w:rPr>
                <w:rFonts w:ascii="Calibri" w:hAnsi="Calibri" w:cs="Calibri"/>
                <w:color w:val="000000" w:themeColor="text1"/>
              </w:rPr>
              <w:t xml:space="preserve">Australia </w:t>
            </w:r>
          </w:p>
        </w:tc>
        <w:tc>
          <w:tcPr>
            <w:tcW w:w="3790" w:type="dxa"/>
          </w:tcPr>
          <w:p w14:paraId="3FBCD581" w14:textId="452ACAC1" w:rsidR="007D5D7C" w:rsidRPr="00F16DEF" w:rsidRDefault="007D5D7C" w:rsidP="00F16DEF">
            <w:pPr>
              <w:pStyle w:val="ListParagraph"/>
              <w:snapToGrid w:val="0"/>
              <w:spacing w:line="276" w:lineRule="auto"/>
              <w:ind w:left="0"/>
              <w:contextualSpacing w:val="0"/>
              <w:rPr>
                <w:rFonts w:ascii="Calibri" w:hAnsi="Calibri" w:cs="Calibri"/>
                <w:color w:val="000000" w:themeColor="text1"/>
              </w:rPr>
            </w:pPr>
            <w:r w:rsidRPr="00F16DEF">
              <w:rPr>
                <w:rFonts w:ascii="Calibri" w:hAnsi="Calibri" w:cs="Calibri"/>
                <w:color w:val="000000" w:themeColor="text1"/>
              </w:rPr>
              <w:t>185,106 (17.3%)</w:t>
            </w:r>
          </w:p>
        </w:tc>
      </w:tr>
      <w:tr w:rsidR="007D5D7C" w14:paraId="46FECEDB" w14:textId="77777777" w:rsidTr="00F82013">
        <w:trPr>
          <w:trHeight w:val="398"/>
          <w:jc w:val="center"/>
        </w:trPr>
        <w:tc>
          <w:tcPr>
            <w:tcW w:w="1885" w:type="dxa"/>
            <w:vMerge/>
          </w:tcPr>
          <w:p w14:paraId="461FBE64" w14:textId="77777777" w:rsidR="007D5D7C" w:rsidRPr="00F16DEF" w:rsidRDefault="007D5D7C" w:rsidP="00F16DEF">
            <w:pPr>
              <w:pStyle w:val="ListParagraph"/>
              <w:snapToGrid w:val="0"/>
              <w:spacing w:line="276" w:lineRule="auto"/>
              <w:ind w:left="0"/>
              <w:contextualSpacing w:val="0"/>
              <w:rPr>
                <w:rFonts w:ascii="Calibri" w:hAnsi="Calibri" w:cs="Calibri"/>
                <w:color w:val="000000" w:themeColor="text1"/>
              </w:rPr>
            </w:pPr>
          </w:p>
        </w:tc>
        <w:tc>
          <w:tcPr>
            <w:tcW w:w="4183" w:type="dxa"/>
          </w:tcPr>
          <w:p w14:paraId="4AD7E0D0" w14:textId="25EBF1AF" w:rsidR="007D5D7C" w:rsidRPr="00F16DEF" w:rsidRDefault="007D5D7C" w:rsidP="00F16DEF">
            <w:pPr>
              <w:pStyle w:val="ListParagraph"/>
              <w:snapToGrid w:val="0"/>
              <w:spacing w:line="276" w:lineRule="auto"/>
              <w:ind w:left="0"/>
              <w:contextualSpacing w:val="0"/>
              <w:rPr>
                <w:rFonts w:ascii="Calibri" w:hAnsi="Calibri" w:cs="Calibri"/>
                <w:color w:val="000000" w:themeColor="text1"/>
              </w:rPr>
            </w:pPr>
            <w:r w:rsidRPr="00F16DEF">
              <w:rPr>
                <w:rFonts w:ascii="Calibri" w:hAnsi="Calibri" w:cs="Calibri"/>
                <w:color w:val="000000" w:themeColor="text1"/>
              </w:rPr>
              <w:t>US</w:t>
            </w:r>
          </w:p>
        </w:tc>
        <w:tc>
          <w:tcPr>
            <w:tcW w:w="3790" w:type="dxa"/>
          </w:tcPr>
          <w:p w14:paraId="56D86746" w14:textId="4DF14348" w:rsidR="007D5D7C" w:rsidRPr="00F16DEF" w:rsidRDefault="007D5D7C" w:rsidP="00F16DEF">
            <w:pPr>
              <w:pStyle w:val="ListParagraph"/>
              <w:snapToGrid w:val="0"/>
              <w:spacing w:line="276" w:lineRule="auto"/>
              <w:ind w:left="0"/>
              <w:contextualSpacing w:val="0"/>
              <w:rPr>
                <w:rFonts w:ascii="Calibri" w:hAnsi="Calibri" w:cs="Calibri"/>
                <w:color w:val="000000" w:themeColor="text1"/>
              </w:rPr>
            </w:pPr>
            <w:r w:rsidRPr="00F16DEF">
              <w:rPr>
                <w:rFonts w:ascii="Calibri" w:hAnsi="Calibri" w:cs="Calibri"/>
                <w:color w:val="000000" w:themeColor="text1"/>
              </w:rPr>
              <w:t>186,787 (17.5%)</w:t>
            </w:r>
          </w:p>
        </w:tc>
      </w:tr>
    </w:tbl>
    <w:p w14:paraId="2A0E21A9" w14:textId="15E5B5A1" w:rsidR="0036521B" w:rsidRPr="00241ABD" w:rsidRDefault="0036521B" w:rsidP="00F16DEF">
      <w:pPr>
        <w:pStyle w:val="ListParagraph"/>
        <w:snapToGrid w:val="0"/>
        <w:spacing w:after="120" w:line="276" w:lineRule="auto"/>
        <w:ind w:left="0"/>
        <w:contextualSpacing w:val="0"/>
        <w:jc w:val="both"/>
        <w:rPr>
          <w:rFonts w:ascii="Calibri" w:hAnsi="Calibri" w:cs="Calibri"/>
          <w:color w:val="000000" w:themeColor="text1"/>
          <w:sz w:val="18"/>
          <w:szCs w:val="18"/>
        </w:rPr>
      </w:pPr>
      <w:r>
        <w:rPr>
          <w:rFonts w:ascii="Book Antiqua" w:hAnsi="Book Antiqua"/>
          <w:color w:val="000000" w:themeColor="text1"/>
          <w:sz w:val="20"/>
          <w:szCs w:val="20"/>
        </w:rPr>
        <w:t xml:space="preserve"> </w:t>
      </w:r>
      <w:r w:rsidRPr="00241ABD">
        <w:rPr>
          <w:rFonts w:ascii="Calibri" w:hAnsi="Calibri" w:cs="Calibri"/>
          <w:color w:val="000000" w:themeColor="text1"/>
          <w:sz w:val="18"/>
          <w:szCs w:val="18"/>
        </w:rPr>
        <w:t xml:space="preserve">Source: </w:t>
      </w:r>
      <w:hyperlink r:id="rId16" w:history="1">
        <w:r w:rsidRPr="00241ABD">
          <w:rPr>
            <w:rStyle w:val="Hyperlink"/>
            <w:rFonts w:ascii="Calibri" w:hAnsi="Calibri" w:cs="Calibri"/>
            <w:sz w:val="18"/>
            <w:szCs w:val="18"/>
          </w:rPr>
          <w:t>https://www.sprep.org/sites/default/files/documents/circulars/Cir19-70_Approved_SPREP_WPBiennial_Budget.pdf</w:t>
        </w:r>
      </w:hyperlink>
      <w:r>
        <w:rPr>
          <w:rFonts w:ascii="Calibri" w:hAnsi="Calibri" w:cs="Calibri"/>
          <w:color w:val="000000" w:themeColor="text1"/>
          <w:sz w:val="18"/>
          <w:szCs w:val="18"/>
        </w:rPr>
        <w:t xml:space="preserve"> </w:t>
      </w:r>
      <w:r w:rsidRPr="00241ABD" w:rsidDel="00787FDA">
        <w:rPr>
          <w:rFonts w:ascii="Calibri" w:hAnsi="Calibri" w:cs="Calibri"/>
          <w:color w:val="000000" w:themeColor="text1"/>
          <w:sz w:val="18"/>
          <w:szCs w:val="18"/>
        </w:rPr>
        <w:t xml:space="preserve"> </w:t>
      </w:r>
    </w:p>
    <w:p w14:paraId="445C1537" w14:textId="53421361" w:rsidR="00527520" w:rsidRDefault="00527520" w:rsidP="00143DC7">
      <w:pPr>
        <w:pStyle w:val="ListParagraph"/>
        <w:snapToGrid w:val="0"/>
        <w:spacing w:after="120" w:line="276" w:lineRule="auto"/>
        <w:ind w:left="0"/>
        <w:contextualSpacing w:val="0"/>
        <w:jc w:val="both"/>
        <w:rPr>
          <w:rFonts w:ascii="Book Antiqua" w:hAnsi="Book Antiqua"/>
          <w:color w:val="000000" w:themeColor="text1"/>
          <w:sz w:val="20"/>
          <w:szCs w:val="20"/>
        </w:rPr>
      </w:pPr>
    </w:p>
    <w:p w14:paraId="5BC240C8" w14:textId="77172C63" w:rsidR="00527520" w:rsidRPr="00447682" w:rsidRDefault="009A4E83" w:rsidP="00143DC7">
      <w:pPr>
        <w:pStyle w:val="Header"/>
        <w:numPr>
          <w:ilvl w:val="0"/>
          <w:numId w:val="1"/>
        </w:numPr>
        <w:tabs>
          <w:tab w:val="clear" w:pos="4320"/>
          <w:tab w:val="clear" w:pos="8640"/>
        </w:tabs>
        <w:spacing w:after="240"/>
        <w:jc w:val="center"/>
        <w:outlineLvl w:val="0"/>
        <w:rPr>
          <w:rFonts w:ascii="Book Antiqua" w:eastAsia="SimSun" w:hAnsi="Book Antiqua" w:cs="Times New Roman"/>
          <w:b/>
          <w:iCs/>
          <w:caps/>
          <w:color w:val="000000" w:themeColor="text1"/>
          <w:sz w:val="22"/>
          <w:szCs w:val="22"/>
          <w:lang w:eastAsia="ko-KR"/>
        </w:rPr>
      </w:pPr>
      <w:r w:rsidRPr="00447682">
        <w:rPr>
          <w:rFonts w:ascii="Book Antiqua" w:eastAsia="SimSun" w:hAnsi="Book Antiqua" w:cs="Times New Roman"/>
          <w:b/>
          <w:iCs/>
          <w:caps/>
          <w:color w:val="000000" w:themeColor="text1"/>
          <w:sz w:val="22"/>
          <w:szCs w:val="22"/>
          <w:lang w:eastAsia="ko-KR"/>
        </w:rPr>
        <w:t xml:space="preserve"> </w:t>
      </w:r>
      <w:bookmarkStart w:id="4" w:name="_Toc64995275"/>
      <w:r w:rsidR="00527520" w:rsidRPr="00447682">
        <w:rPr>
          <w:rFonts w:ascii="Book Antiqua" w:eastAsia="SimSun" w:hAnsi="Book Antiqua" w:cs="Times New Roman"/>
          <w:b/>
          <w:iCs/>
          <w:caps/>
          <w:color w:val="000000" w:themeColor="text1"/>
          <w:sz w:val="22"/>
          <w:szCs w:val="22"/>
          <w:lang w:eastAsia="ko-KR"/>
        </w:rPr>
        <w:t>NEASPEC</w:t>
      </w:r>
      <w:r w:rsidR="000E4AF8">
        <w:rPr>
          <w:rFonts w:ascii="Book Antiqua" w:eastAsia="SimSun" w:hAnsi="Book Antiqua" w:cs="Times New Roman"/>
          <w:b/>
          <w:iCs/>
          <w:caps/>
          <w:color w:val="000000" w:themeColor="text1"/>
          <w:sz w:val="22"/>
          <w:szCs w:val="22"/>
          <w:lang w:eastAsia="ko-KR"/>
        </w:rPr>
        <w:t xml:space="preserve"> fUNDING MODALITIES</w:t>
      </w:r>
      <w:bookmarkEnd w:id="4"/>
    </w:p>
    <w:p w14:paraId="3E115D13" w14:textId="0A62CBB9" w:rsidR="004D18AF" w:rsidRDefault="004D18AF" w:rsidP="004D18AF">
      <w:pPr>
        <w:pStyle w:val="ListParagraph"/>
        <w:numPr>
          <w:ilvl w:val="0"/>
          <w:numId w:val="2"/>
        </w:numPr>
        <w:snapToGrid w:val="0"/>
        <w:spacing w:after="120" w:line="276" w:lineRule="auto"/>
        <w:ind w:left="0" w:firstLine="0"/>
        <w:contextualSpacing w:val="0"/>
        <w:jc w:val="both"/>
        <w:rPr>
          <w:rFonts w:ascii="Book Antiqua" w:hAnsi="Book Antiqua"/>
        </w:rPr>
      </w:pPr>
      <w:r>
        <w:rPr>
          <w:rFonts w:ascii="Book Antiqua" w:hAnsi="Book Antiqua"/>
        </w:rPr>
        <w:t xml:space="preserve">In accordance with </w:t>
      </w:r>
      <w:r w:rsidR="00195894">
        <w:rPr>
          <w:rFonts w:ascii="Book Antiqua" w:hAnsi="Book Antiqua"/>
        </w:rPr>
        <w:t xml:space="preserve">the commitment “to reach a consensus on establishing a trust fund…to ensure effective and efficient Programme implementation” as stipulated in the Framework of NEASPEC adopted by SOM-3 in 1996, </w:t>
      </w:r>
      <w:r w:rsidRPr="003E35E9">
        <w:rPr>
          <w:rFonts w:ascii="Book Antiqua" w:hAnsi="Book Antiqua"/>
        </w:rPr>
        <w:t xml:space="preserve">member </w:t>
      </w:r>
      <w:r w:rsidR="00195894">
        <w:rPr>
          <w:rFonts w:ascii="Book Antiqua" w:hAnsi="Book Antiqua"/>
        </w:rPr>
        <w:t xml:space="preserve">States </w:t>
      </w:r>
      <w:r w:rsidRPr="003E35E9">
        <w:rPr>
          <w:rFonts w:ascii="Book Antiqua" w:hAnsi="Book Antiqua"/>
        </w:rPr>
        <w:t>considered the feasibility of establis</w:t>
      </w:r>
      <w:r w:rsidR="00195894">
        <w:rPr>
          <w:rFonts w:ascii="Book Antiqua" w:hAnsi="Book Antiqua"/>
        </w:rPr>
        <w:t>hing</w:t>
      </w:r>
      <w:r w:rsidRPr="003E35E9">
        <w:rPr>
          <w:rFonts w:ascii="Book Antiqua" w:hAnsi="Book Antiqua"/>
        </w:rPr>
        <w:t xml:space="preserve"> </w:t>
      </w:r>
      <w:r w:rsidR="00195894">
        <w:rPr>
          <w:rFonts w:ascii="Book Antiqua" w:hAnsi="Book Antiqua"/>
        </w:rPr>
        <w:t xml:space="preserve">the </w:t>
      </w:r>
      <w:r w:rsidRPr="003E35E9">
        <w:rPr>
          <w:rFonts w:ascii="Book Antiqua" w:hAnsi="Book Antiqua"/>
        </w:rPr>
        <w:t xml:space="preserve">NEASPEC trust fund at SOM-4 in 1998 and decided to reach consensus on the modalities of the trust fund towards SOM-6. Having heard divergent views of </w:t>
      </w:r>
      <w:r w:rsidR="008955F0">
        <w:rPr>
          <w:rFonts w:ascii="Book Antiqua" w:hAnsi="Book Antiqua"/>
        </w:rPr>
        <w:t xml:space="preserve">member States </w:t>
      </w:r>
      <w:r w:rsidRPr="003E35E9">
        <w:rPr>
          <w:rFonts w:ascii="Book Antiqua" w:hAnsi="Book Antiqua"/>
        </w:rPr>
        <w:t xml:space="preserve">on setting up a trust fund, member </w:t>
      </w:r>
      <w:r w:rsidR="00195894">
        <w:rPr>
          <w:rFonts w:ascii="Book Antiqua" w:hAnsi="Book Antiqua"/>
        </w:rPr>
        <w:t xml:space="preserve">States </w:t>
      </w:r>
      <w:r w:rsidRPr="003E35E9">
        <w:rPr>
          <w:rFonts w:ascii="Book Antiqua" w:hAnsi="Book Antiqua"/>
        </w:rPr>
        <w:t xml:space="preserve">at SOM-5 requested the secretariat further elaborate options and alternatives for financial arrangements in consultation with partner agencies and donor countries on the possible financial support and report to SOM-6. </w:t>
      </w:r>
    </w:p>
    <w:p w14:paraId="2CF0DA40" w14:textId="04D3856D" w:rsidR="00195894" w:rsidRPr="003E35E9" w:rsidRDefault="00195894" w:rsidP="003E35E9">
      <w:pPr>
        <w:pStyle w:val="ListParagraph"/>
        <w:numPr>
          <w:ilvl w:val="0"/>
          <w:numId w:val="2"/>
        </w:numPr>
        <w:snapToGrid w:val="0"/>
        <w:spacing w:after="120" w:line="276" w:lineRule="auto"/>
        <w:ind w:left="0" w:firstLine="0"/>
        <w:contextualSpacing w:val="0"/>
        <w:jc w:val="both"/>
        <w:rPr>
          <w:rFonts w:ascii="Book Antiqua" w:hAnsi="Book Antiqua"/>
        </w:rPr>
      </w:pPr>
      <w:r w:rsidRPr="003E35E9">
        <w:rPr>
          <w:rFonts w:ascii="Book Antiqua" w:hAnsi="Book Antiqua"/>
        </w:rPr>
        <w:t xml:space="preserve">SOM-6 </w:t>
      </w:r>
      <w:r>
        <w:rPr>
          <w:rFonts w:ascii="Book Antiqua" w:hAnsi="Book Antiqua"/>
        </w:rPr>
        <w:t xml:space="preserve">in </w:t>
      </w:r>
      <w:r w:rsidRPr="003E35E9">
        <w:rPr>
          <w:rFonts w:ascii="Book Antiqua" w:hAnsi="Book Antiqua"/>
        </w:rPr>
        <w:t xml:space="preserve">2000 agreed to create a Core Fund with initial contribution of </w:t>
      </w:r>
      <w:r w:rsidR="00E053D6">
        <w:rPr>
          <w:rFonts w:ascii="Book Antiqua" w:hAnsi="Book Antiqua"/>
        </w:rPr>
        <w:t>US</w:t>
      </w:r>
      <w:r>
        <w:rPr>
          <w:rFonts w:ascii="Book Antiqua" w:hAnsi="Book Antiqua"/>
        </w:rPr>
        <w:t>$</w:t>
      </w:r>
      <w:r w:rsidR="00E053D6">
        <w:rPr>
          <w:rFonts w:ascii="Book Antiqua" w:hAnsi="Book Antiqua"/>
        </w:rPr>
        <w:t xml:space="preserve"> </w:t>
      </w:r>
      <w:r w:rsidRPr="003E35E9">
        <w:rPr>
          <w:rFonts w:ascii="Book Antiqua" w:hAnsi="Book Antiqua"/>
        </w:rPr>
        <w:t xml:space="preserve">100,000 </w:t>
      </w:r>
      <w:r>
        <w:rPr>
          <w:rFonts w:ascii="Book Antiqua" w:hAnsi="Book Antiqua"/>
        </w:rPr>
        <w:t>from</w:t>
      </w:r>
      <w:r w:rsidRPr="003E35E9">
        <w:rPr>
          <w:rFonts w:ascii="Book Antiqua" w:hAnsi="Book Antiqua"/>
        </w:rPr>
        <w:t xml:space="preserve"> the R</w:t>
      </w:r>
      <w:r>
        <w:rPr>
          <w:rFonts w:ascii="Book Antiqua" w:hAnsi="Book Antiqua"/>
        </w:rPr>
        <w:t>epublic of Korea (R</w:t>
      </w:r>
      <w:r w:rsidRPr="003E35E9">
        <w:rPr>
          <w:rFonts w:ascii="Book Antiqua" w:hAnsi="Book Antiqua"/>
        </w:rPr>
        <w:t>OK</w:t>
      </w:r>
      <w:r>
        <w:rPr>
          <w:rFonts w:ascii="Book Antiqua" w:hAnsi="Book Antiqua"/>
        </w:rPr>
        <w:t>)</w:t>
      </w:r>
      <w:r w:rsidRPr="003E35E9">
        <w:rPr>
          <w:rFonts w:ascii="Book Antiqua" w:hAnsi="Book Antiqua"/>
        </w:rPr>
        <w:t xml:space="preserve">, and suggested all </w:t>
      </w:r>
      <w:r>
        <w:rPr>
          <w:rFonts w:ascii="Book Antiqua" w:hAnsi="Book Antiqua"/>
        </w:rPr>
        <w:t>member States</w:t>
      </w:r>
      <w:r w:rsidRPr="003E35E9">
        <w:rPr>
          <w:rFonts w:ascii="Book Antiqua" w:hAnsi="Book Antiqua"/>
        </w:rPr>
        <w:t xml:space="preserve">, donor and collaborating agencies enhance their support to accelerate the implementation </w:t>
      </w:r>
      <w:r w:rsidR="00E053D6">
        <w:rPr>
          <w:rFonts w:ascii="Book Antiqua" w:hAnsi="Book Antiqua"/>
        </w:rPr>
        <w:t xml:space="preserve">of </w:t>
      </w:r>
      <w:r w:rsidRPr="003E35E9">
        <w:rPr>
          <w:rFonts w:ascii="Book Antiqua" w:hAnsi="Book Antiqua"/>
        </w:rPr>
        <w:t xml:space="preserve">NEASPEC projects in line with the Framework and the adopted Vision Statement. </w:t>
      </w:r>
    </w:p>
    <w:p w14:paraId="136BC44B" w14:textId="2C5213C0" w:rsidR="005C6B31" w:rsidRPr="003E35E9" w:rsidRDefault="00195894" w:rsidP="005C6B31">
      <w:pPr>
        <w:pStyle w:val="ListParagraph"/>
        <w:numPr>
          <w:ilvl w:val="0"/>
          <w:numId w:val="2"/>
        </w:numPr>
        <w:snapToGrid w:val="0"/>
        <w:spacing w:after="120" w:line="276" w:lineRule="auto"/>
        <w:ind w:left="0" w:firstLine="0"/>
        <w:contextualSpacing w:val="0"/>
        <w:jc w:val="both"/>
        <w:rPr>
          <w:b/>
          <w:bCs/>
        </w:rPr>
      </w:pPr>
      <w:r w:rsidRPr="003E35E9">
        <w:rPr>
          <w:rFonts w:ascii="Book Antiqua" w:hAnsi="Book Antiqua"/>
        </w:rPr>
        <w:t xml:space="preserve">The Core Fund received further voluntary contributions from the ROK and Japan in the following year. </w:t>
      </w:r>
      <w:r w:rsidR="00613E55" w:rsidRPr="003E35E9">
        <w:rPr>
          <w:rFonts w:ascii="Book Antiqua" w:hAnsi="Book Antiqua"/>
          <w:color w:val="000000" w:themeColor="text1"/>
        </w:rPr>
        <w:t>SOM-7</w:t>
      </w:r>
      <w:r w:rsidR="00422295" w:rsidRPr="003E35E9">
        <w:rPr>
          <w:rFonts w:ascii="Book Antiqua" w:hAnsi="Book Antiqua"/>
          <w:color w:val="000000" w:themeColor="text1"/>
        </w:rPr>
        <w:t xml:space="preserve"> </w:t>
      </w:r>
      <w:r w:rsidR="00613E55" w:rsidRPr="003E35E9">
        <w:rPr>
          <w:rFonts w:ascii="Book Antiqua" w:hAnsi="Book Antiqua"/>
          <w:color w:val="000000" w:themeColor="text1"/>
        </w:rPr>
        <w:t xml:space="preserve">further </w:t>
      </w:r>
      <w:r w:rsidR="00D84746" w:rsidRPr="003E35E9">
        <w:rPr>
          <w:rFonts w:ascii="Book Antiqua" w:hAnsi="Book Antiqua"/>
          <w:color w:val="000000" w:themeColor="text1"/>
        </w:rPr>
        <w:t xml:space="preserve">reviewed a secretariat proposal for </w:t>
      </w:r>
      <w:r w:rsidR="000D236A" w:rsidRPr="003E35E9">
        <w:rPr>
          <w:rFonts w:ascii="Book Antiqua" w:hAnsi="Book Antiqua"/>
          <w:color w:val="000000" w:themeColor="text1"/>
        </w:rPr>
        <w:t>strengthening the Core Fund</w:t>
      </w:r>
      <w:r w:rsidR="00D06F43" w:rsidRPr="003E35E9">
        <w:rPr>
          <w:rFonts w:ascii="Book Antiqua" w:hAnsi="Book Antiqua"/>
          <w:color w:val="000000" w:themeColor="text1"/>
        </w:rPr>
        <w:t xml:space="preserve"> as the “NEASPEC Fund” consisting of </w:t>
      </w:r>
      <w:r w:rsidR="000D236A" w:rsidRPr="003E35E9">
        <w:rPr>
          <w:rFonts w:ascii="Book Antiqua" w:hAnsi="Book Antiqua"/>
          <w:color w:val="000000" w:themeColor="text1"/>
        </w:rPr>
        <w:t>three accounts: Endowment Account, Operational Account, and Project Account</w:t>
      </w:r>
      <w:r w:rsidR="00E053D6">
        <w:rPr>
          <w:rFonts w:ascii="Book Antiqua" w:hAnsi="Book Antiqua"/>
          <w:color w:val="000000" w:themeColor="text1"/>
        </w:rPr>
        <w:t>,</w:t>
      </w:r>
      <w:r w:rsidR="00603C5C" w:rsidRPr="003E35E9">
        <w:rPr>
          <w:rFonts w:ascii="Book Antiqua" w:hAnsi="Book Antiqua"/>
          <w:color w:val="000000" w:themeColor="text1"/>
        </w:rPr>
        <w:t xml:space="preserve"> while </w:t>
      </w:r>
      <w:r w:rsidR="00613E55" w:rsidRPr="003E35E9">
        <w:rPr>
          <w:rFonts w:ascii="Book Antiqua" w:hAnsi="Book Antiqua"/>
          <w:color w:val="000000" w:themeColor="text1"/>
        </w:rPr>
        <w:t xml:space="preserve">each </w:t>
      </w:r>
      <w:r w:rsidR="00603C5C" w:rsidRPr="003E35E9">
        <w:rPr>
          <w:rFonts w:ascii="Book Antiqua" w:hAnsi="Book Antiqua"/>
          <w:color w:val="000000" w:themeColor="text1"/>
        </w:rPr>
        <w:t xml:space="preserve">member State would </w:t>
      </w:r>
      <w:r w:rsidR="00613E55" w:rsidRPr="003E35E9">
        <w:rPr>
          <w:rFonts w:ascii="Book Antiqua" w:hAnsi="Book Antiqua"/>
          <w:color w:val="000000" w:themeColor="text1"/>
        </w:rPr>
        <w:t>make a voluntary contribution.</w:t>
      </w:r>
      <w:r w:rsidR="0099615A" w:rsidRPr="003E35E9">
        <w:rPr>
          <w:rFonts w:ascii="Book Antiqua" w:hAnsi="Book Antiqua"/>
          <w:color w:val="000000" w:themeColor="text1"/>
        </w:rPr>
        <w:t xml:space="preserve"> </w:t>
      </w:r>
      <w:r w:rsidR="002002BC" w:rsidRPr="003E35E9">
        <w:rPr>
          <w:rFonts w:ascii="Book Antiqua" w:hAnsi="Book Antiqua"/>
          <w:color w:val="000000" w:themeColor="text1"/>
        </w:rPr>
        <w:t>As th</w:t>
      </w:r>
      <w:r w:rsidR="00561E6F" w:rsidRPr="003E35E9">
        <w:rPr>
          <w:rFonts w:ascii="Book Antiqua" w:hAnsi="Book Antiqua"/>
          <w:color w:val="000000" w:themeColor="text1"/>
        </w:rPr>
        <w:t xml:space="preserve">is arrangement </w:t>
      </w:r>
      <w:r w:rsidR="002002BC" w:rsidRPr="003E35E9">
        <w:rPr>
          <w:rFonts w:ascii="Book Antiqua" w:hAnsi="Book Antiqua"/>
          <w:color w:val="000000" w:themeColor="text1"/>
        </w:rPr>
        <w:t xml:space="preserve">was </w:t>
      </w:r>
      <w:r w:rsidR="00BE79D2" w:rsidRPr="003E35E9">
        <w:rPr>
          <w:rFonts w:ascii="Book Antiqua" w:hAnsi="Book Antiqua"/>
          <w:color w:val="000000" w:themeColor="text1"/>
        </w:rPr>
        <w:t xml:space="preserve">discussed in connection with </w:t>
      </w:r>
      <w:r w:rsidR="00561E6F" w:rsidRPr="003E35E9">
        <w:rPr>
          <w:rFonts w:ascii="Book Antiqua" w:hAnsi="Book Antiqua"/>
          <w:color w:val="000000" w:themeColor="text1"/>
        </w:rPr>
        <w:t xml:space="preserve">the proposal of </w:t>
      </w:r>
      <w:r w:rsidR="00BE79D2" w:rsidRPr="003E35E9">
        <w:rPr>
          <w:rFonts w:ascii="Book Antiqua" w:hAnsi="Book Antiqua"/>
          <w:color w:val="000000" w:themeColor="text1"/>
        </w:rPr>
        <w:t>establish</w:t>
      </w:r>
      <w:r w:rsidR="00561E6F" w:rsidRPr="003E35E9">
        <w:rPr>
          <w:rFonts w:ascii="Book Antiqua" w:hAnsi="Book Antiqua"/>
          <w:color w:val="000000" w:themeColor="text1"/>
        </w:rPr>
        <w:t xml:space="preserve">ing </w:t>
      </w:r>
      <w:r w:rsidR="00BE79D2" w:rsidRPr="003E35E9">
        <w:rPr>
          <w:rFonts w:ascii="Book Antiqua" w:hAnsi="Book Antiqua"/>
          <w:color w:val="000000" w:themeColor="text1"/>
        </w:rPr>
        <w:t>NEASPEC’s independent secretariat</w:t>
      </w:r>
      <w:r w:rsidR="00755E32" w:rsidRPr="003E35E9">
        <w:rPr>
          <w:rFonts w:ascii="Book Antiqua" w:hAnsi="Book Antiqua"/>
          <w:color w:val="000000" w:themeColor="text1"/>
        </w:rPr>
        <w:t xml:space="preserve">, of which member States decided to </w:t>
      </w:r>
      <w:r w:rsidR="002665AA" w:rsidRPr="003E35E9">
        <w:rPr>
          <w:rFonts w:ascii="Book Antiqua" w:hAnsi="Book Antiqua"/>
          <w:color w:val="000000" w:themeColor="text1"/>
        </w:rPr>
        <w:t xml:space="preserve">request </w:t>
      </w:r>
      <w:r w:rsidR="00541CAF" w:rsidRPr="003E35E9">
        <w:rPr>
          <w:rFonts w:ascii="Book Antiqua" w:hAnsi="Book Antiqua"/>
          <w:color w:val="000000" w:themeColor="text1"/>
        </w:rPr>
        <w:t xml:space="preserve">ESCAP </w:t>
      </w:r>
      <w:r w:rsidR="002665AA" w:rsidRPr="003E35E9">
        <w:rPr>
          <w:rFonts w:ascii="Book Antiqua" w:hAnsi="Book Antiqua"/>
          <w:color w:val="000000" w:themeColor="text1"/>
        </w:rPr>
        <w:t xml:space="preserve">to continue its role </w:t>
      </w:r>
      <w:r w:rsidR="00541CAF" w:rsidRPr="003E35E9">
        <w:rPr>
          <w:rFonts w:ascii="Book Antiqua" w:hAnsi="Book Antiqua"/>
          <w:color w:val="000000" w:themeColor="text1"/>
        </w:rPr>
        <w:t xml:space="preserve">as the </w:t>
      </w:r>
      <w:r w:rsidR="00CB2BB8" w:rsidRPr="003E35E9">
        <w:rPr>
          <w:rFonts w:ascii="Book Antiqua" w:hAnsi="Book Antiqua"/>
          <w:color w:val="000000" w:themeColor="text1"/>
        </w:rPr>
        <w:t xml:space="preserve">interim </w:t>
      </w:r>
      <w:r w:rsidR="00541CAF" w:rsidRPr="003E35E9">
        <w:rPr>
          <w:rFonts w:ascii="Book Antiqua" w:hAnsi="Book Antiqua"/>
          <w:color w:val="000000" w:themeColor="text1"/>
        </w:rPr>
        <w:t xml:space="preserve">secretariat, </w:t>
      </w:r>
      <w:r w:rsidR="002665AA" w:rsidRPr="003E35E9">
        <w:rPr>
          <w:rFonts w:ascii="Book Antiqua" w:hAnsi="Book Antiqua"/>
          <w:color w:val="000000" w:themeColor="text1"/>
        </w:rPr>
        <w:t xml:space="preserve">SOM-7 </w:t>
      </w:r>
      <w:r w:rsidR="002A2677" w:rsidRPr="003E35E9">
        <w:rPr>
          <w:rFonts w:ascii="Book Antiqua" w:hAnsi="Book Antiqua"/>
          <w:color w:val="000000" w:themeColor="text1"/>
        </w:rPr>
        <w:t xml:space="preserve">agreed to continue with the Core </w:t>
      </w:r>
      <w:r w:rsidR="00564FA4" w:rsidRPr="003E35E9">
        <w:rPr>
          <w:rFonts w:ascii="Book Antiqua" w:hAnsi="Book Antiqua"/>
          <w:color w:val="000000" w:themeColor="text1"/>
        </w:rPr>
        <w:t xml:space="preserve">Fund and called on member States to </w:t>
      </w:r>
      <w:r w:rsidR="005C6B31" w:rsidRPr="003E35E9">
        <w:rPr>
          <w:rFonts w:ascii="Book Antiqua" w:hAnsi="Book Antiqua"/>
          <w:color w:val="000000" w:themeColor="text1"/>
        </w:rPr>
        <w:t xml:space="preserve">make voluntary contribution in </w:t>
      </w:r>
      <w:r w:rsidR="00564FA4" w:rsidRPr="003E35E9">
        <w:rPr>
          <w:rFonts w:ascii="Book Antiqua" w:hAnsi="Book Antiqua"/>
          <w:color w:val="000000" w:themeColor="text1"/>
        </w:rPr>
        <w:t>cash</w:t>
      </w:r>
      <w:r w:rsidR="005C6B31" w:rsidRPr="003E35E9">
        <w:rPr>
          <w:rFonts w:ascii="Book Antiqua" w:hAnsi="Book Antiqua"/>
          <w:color w:val="000000" w:themeColor="text1"/>
        </w:rPr>
        <w:t xml:space="preserve"> or</w:t>
      </w:r>
      <w:r w:rsidR="00564FA4" w:rsidRPr="003E35E9">
        <w:rPr>
          <w:rFonts w:ascii="Book Antiqua" w:hAnsi="Book Antiqua"/>
          <w:color w:val="000000" w:themeColor="text1"/>
        </w:rPr>
        <w:t xml:space="preserve"> in-kind contribution.</w:t>
      </w:r>
    </w:p>
    <w:p w14:paraId="689F6402" w14:textId="426B53AF" w:rsidR="00C45C15" w:rsidRPr="003E35E9" w:rsidRDefault="00C9344D" w:rsidP="005C6B31">
      <w:pPr>
        <w:pStyle w:val="ListParagraph"/>
        <w:numPr>
          <w:ilvl w:val="0"/>
          <w:numId w:val="2"/>
        </w:numPr>
        <w:snapToGrid w:val="0"/>
        <w:spacing w:after="120" w:line="276" w:lineRule="auto"/>
        <w:ind w:left="0" w:firstLine="0"/>
        <w:contextualSpacing w:val="0"/>
        <w:jc w:val="both"/>
        <w:rPr>
          <w:b/>
          <w:bCs/>
        </w:rPr>
      </w:pPr>
      <w:r w:rsidRPr="003E35E9">
        <w:rPr>
          <w:rFonts w:ascii="Book Antiqua" w:hAnsi="Book Antiqua"/>
          <w:color w:val="000000" w:themeColor="text1"/>
        </w:rPr>
        <w:lastRenderedPageBreak/>
        <w:t>Since then, annual</w:t>
      </w:r>
      <w:r w:rsidR="00866FE5">
        <w:rPr>
          <w:rFonts w:ascii="Book Antiqua" w:hAnsi="Book Antiqua"/>
          <w:color w:val="000000" w:themeColor="text1"/>
        </w:rPr>
        <w:t xml:space="preserve"> voluntary</w:t>
      </w:r>
      <w:r w:rsidRPr="003E35E9">
        <w:rPr>
          <w:rFonts w:ascii="Book Antiqua" w:hAnsi="Book Antiqua"/>
          <w:color w:val="000000" w:themeColor="text1"/>
        </w:rPr>
        <w:t xml:space="preserve"> contributions </w:t>
      </w:r>
      <w:r w:rsidR="003E7E60" w:rsidRPr="003E35E9">
        <w:rPr>
          <w:rFonts w:ascii="Book Antiqua" w:hAnsi="Book Antiqua"/>
          <w:color w:val="000000" w:themeColor="text1"/>
        </w:rPr>
        <w:t>have been</w:t>
      </w:r>
      <w:r w:rsidRPr="003E35E9">
        <w:rPr>
          <w:rFonts w:ascii="Book Antiqua" w:hAnsi="Book Antiqua"/>
          <w:color w:val="000000" w:themeColor="text1"/>
        </w:rPr>
        <w:t xml:space="preserve"> made by China (</w:t>
      </w:r>
      <w:r w:rsidR="00DB4941">
        <w:rPr>
          <w:rFonts w:ascii="Book Antiqua" w:hAnsi="Book Antiqua"/>
          <w:color w:val="000000" w:themeColor="text1"/>
        </w:rPr>
        <w:t>US</w:t>
      </w:r>
      <w:r w:rsidR="008134B2">
        <w:rPr>
          <w:rFonts w:ascii="Book Antiqua" w:hAnsi="Book Antiqua"/>
          <w:color w:val="000000" w:themeColor="text1"/>
        </w:rPr>
        <w:t>$</w:t>
      </w:r>
      <w:r w:rsidR="00DB4941">
        <w:rPr>
          <w:rFonts w:ascii="Book Antiqua" w:hAnsi="Book Antiqua"/>
          <w:color w:val="000000" w:themeColor="text1"/>
        </w:rPr>
        <w:t xml:space="preserve"> </w:t>
      </w:r>
      <w:r w:rsidRPr="003E35E9">
        <w:rPr>
          <w:rFonts w:ascii="Book Antiqua" w:hAnsi="Book Antiqua"/>
          <w:color w:val="000000" w:themeColor="text1"/>
        </w:rPr>
        <w:t xml:space="preserve">50,000 </w:t>
      </w:r>
      <w:r w:rsidR="00E053D6">
        <w:rPr>
          <w:rFonts w:ascii="Book Antiqua" w:hAnsi="Book Antiqua"/>
          <w:color w:val="000000" w:themeColor="text1"/>
        </w:rPr>
        <w:t>since</w:t>
      </w:r>
      <w:r w:rsidRPr="003E35E9">
        <w:rPr>
          <w:rFonts w:ascii="Book Antiqua" w:hAnsi="Book Antiqua"/>
          <w:color w:val="000000" w:themeColor="text1"/>
        </w:rPr>
        <w:t xml:space="preserve"> 2003)</w:t>
      </w:r>
      <w:r w:rsidR="00E27D0B" w:rsidRPr="003E35E9">
        <w:rPr>
          <w:rFonts w:ascii="Book Antiqua" w:hAnsi="Book Antiqua"/>
          <w:color w:val="000000" w:themeColor="text1"/>
        </w:rPr>
        <w:t xml:space="preserve">, </w:t>
      </w:r>
      <w:r w:rsidRPr="003E35E9">
        <w:rPr>
          <w:rFonts w:ascii="Book Antiqua" w:hAnsi="Book Antiqua"/>
          <w:color w:val="000000" w:themeColor="text1"/>
        </w:rPr>
        <w:t xml:space="preserve">and </w:t>
      </w:r>
      <w:r w:rsidR="00E053D6">
        <w:rPr>
          <w:rFonts w:ascii="Book Antiqua" w:hAnsi="Book Antiqua"/>
          <w:color w:val="000000" w:themeColor="text1"/>
        </w:rPr>
        <w:t>the ROK</w:t>
      </w:r>
      <w:r w:rsidRPr="003E35E9">
        <w:rPr>
          <w:rFonts w:ascii="Book Antiqua" w:hAnsi="Book Antiqua"/>
          <w:color w:val="000000" w:themeColor="text1"/>
        </w:rPr>
        <w:t xml:space="preserve"> (</w:t>
      </w:r>
      <w:r w:rsidR="00DB4941">
        <w:rPr>
          <w:rFonts w:ascii="Book Antiqua" w:hAnsi="Book Antiqua"/>
          <w:color w:val="000000" w:themeColor="text1"/>
        </w:rPr>
        <w:t>US</w:t>
      </w:r>
      <w:r w:rsidR="00AD127A" w:rsidRPr="003E35E9">
        <w:rPr>
          <w:rFonts w:ascii="Book Antiqua" w:hAnsi="Book Antiqua"/>
          <w:color w:val="000000" w:themeColor="text1"/>
        </w:rPr>
        <w:t>$</w:t>
      </w:r>
      <w:r w:rsidR="00DB4941">
        <w:rPr>
          <w:rFonts w:ascii="Book Antiqua" w:hAnsi="Book Antiqua"/>
          <w:color w:val="000000" w:themeColor="text1"/>
        </w:rPr>
        <w:t xml:space="preserve"> </w:t>
      </w:r>
      <w:r w:rsidRPr="003E35E9">
        <w:rPr>
          <w:rFonts w:ascii="Book Antiqua" w:hAnsi="Book Antiqua"/>
          <w:color w:val="000000" w:themeColor="text1"/>
        </w:rPr>
        <w:t xml:space="preserve">100,00 </w:t>
      </w:r>
      <w:r w:rsidR="00E053D6">
        <w:rPr>
          <w:rFonts w:ascii="Book Antiqua" w:hAnsi="Book Antiqua"/>
          <w:color w:val="000000" w:themeColor="text1"/>
        </w:rPr>
        <w:t>since</w:t>
      </w:r>
      <w:r w:rsidRPr="003E35E9">
        <w:rPr>
          <w:rFonts w:ascii="Book Antiqua" w:hAnsi="Book Antiqua"/>
          <w:color w:val="000000" w:themeColor="text1"/>
        </w:rPr>
        <w:t xml:space="preserve"> 2000 and </w:t>
      </w:r>
      <w:r w:rsidR="00E053D6">
        <w:rPr>
          <w:rFonts w:ascii="Book Antiqua" w:hAnsi="Book Antiqua"/>
          <w:color w:val="000000" w:themeColor="text1"/>
        </w:rPr>
        <w:t xml:space="preserve">increased to over </w:t>
      </w:r>
      <w:r w:rsidRPr="003E35E9">
        <w:rPr>
          <w:rFonts w:ascii="Book Antiqua" w:hAnsi="Book Antiqua"/>
          <w:color w:val="000000" w:themeColor="text1"/>
        </w:rPr>
        <w:t>US</w:t>
      </w:r>
      <w:r w:rsidR="008134B2">
        <w:rPr>
          <w:rFonts w:ascii="Book Antiqua" w:hAnsi="Book Antiqua"/>
          <w:color w:val="000000" w:themeColor="text1"/>
        </w:rPr>
        <w:t>$</w:t>
      </w:r>
      <w:r w:rsidRPr="003E35E9">
        <w:rPr>
          <w:rFonts w:ascii="Book Antiqua" w:hAnsi="Book Antiqua"/>
          <w:color w:val="000000" w:themeColor="text1"/>
        </w:rPr>
        <w:t xml:space="preserve"> 200,000 </w:t>
      </w:r>
      <w:r w:rsidR="00E053D6">
        <w:rPr>
          <w:rFonts w:ascii="Book Antiqua" w:hAnsi="Book Antiqua"/>
          <w:color w:val="000000" w:themeColor="text1"/>
        </w:rPr>
        <w:t>since</w:t>
      </w:r>
      <w:r w:rsidRPr="003E35E9">
        <w:rPr>
          <w:rFonts w:ascii="Book Antiqua" w:hAnsi="Book Antiqua"/>
          <w:color w:val="000000" w:themeColor="text1"/>
        </w:rPr>
        <w:t xml:space="preserve"> 2019). </w:t>
      </w:r>
      <w:r w:rsidR="00E053D6">
        <w:rPr>
          <w:rFonts w:ascii="Book Antiqua" w:hAnsi="Book Antiqua"/>
          <w:color w:val="000000" w:themeColor="text1"/>
        </w:rPr>
        <w:t>T</w:t>
      </w:r>
      <w:r w:rsidR="000C58E8">
        <w:rPr>
          <w:rFonts w:ascii="Book Antiqua" w:hAnsi="Book Antiqua"/>
          <w:color w:val="000000" w:themeColor="text1"/>
        </w:rPr>
        <w:t xml:space="preserve">he </w:t>
      </w:r>
      <w:r w:rsidRPr="003E35E9">
        <w:rPr>
          <w:rFonts w:ascii="Book Antiqua" w:hAnsi="Book Antiqua"/>
          <w:color w:val="000000" w:themeColor="text1"/>
        </w:rPr>
        <w:t xml:space="preserve">Russian Federation has provided project-based funding </w:t>
      </w:r>
      <w:r w:rsidR="00E053D6">
        <w:rPr>
          <w:rFonts w:ascii="Book Antiqua" w:hAnsi="Book Antiqua"/>
          <w:color w:val="000000" w:themeColor="text1"/>
        </w:rPr>
        <w:t>since</w:t>
      </w:r>
      <w:r w:rsidRPr="003E35E9">
        <w:rPr>
          <w:rFonts w:ascii="Book Antiqua" w:hAnsi="Book Antiqua"/>
          <w:color w:val="000000" w:themeColor="text1"/>
        </w:rPr>
        <w:t xml:space="preserve"> 2010. Japan </w:t>
      </w:r>
      <w:r w:rsidR="003E7E60" w:rsidRPr="003E35E9">
        <w:rPr>
          <w:rFonts w:ascii="Book Antiqua" w:hAnsi="Book Antiqua"/>
          <w:color w:val="000000" w:themeColor="text1"/>
        </w:rPr>
        <w:t xml:space="preserve">also </w:t>
      </w:r>
      <w:r w:rsidRPr="003E35E9">
        <w:rPr>
          <w:rFonts w:ascii="Book Antiqua" w:hAnsi="Book Antiqua"/>
          <w:color w:val="000000" w:themeColor="text1"/>
        </w:rPr>
        <w:t>made contributions during 2001-20</w:t>
      </w:r>
      <w:r w:rsidR="003E7E60" w:rsidRPr="003E35E9">
        <w:rPr>
          <w:rFonts w:ascii="Book Antiqua" w:hAnsi="Book Antiqua"/>
          <w:color w:val="000000" w:themeColor="text1"/>
        </w:rPr>
        <w:t>0</w:t>
      </w:r>
      <w:r w:rsidRPr="003E35E9">
        <w:rPr>
          <w:rFonts w:ascii="Book Antiqua" w:hAnsi="Book Antiqua"/>
          <w:color w:val="000000" w:themeColor="text1"/>
        </w:rPr>
        <w:t xml:space="preserve">4 </w:t>
      </w:r>
      <w:r w:rsidR="003D116E">
        <w:rPr>
          <w:rFonts w:ascii="Book Antiqua" w:hAnsi="Book Antiqua"/>
          <w:color w:val="000000" w:themeColor="text1"/>
        </w:rPr>
        <w:t>(</w:t>
      </w:r>
      <w:r w:rsidRPr="003E35E9">
        <w:rPr>
          <w:rFonts w:ascii="Book Antiqua" w:hAnsi="Book Antiqua"/>
          <w:color w:val="000000" w:themeColor="text1"/>
        </w:rPr>
        <w:t xml:space="preserve">ranging </w:t>
      </w:r>
      <w:r w:rsidR="00C51F2E">
        <w:rPr>
          <w:rFonts w:ascii="Book Antiqua" w:hAnsi="Book Antiqua"/>
          <w:color w:val="000000" w:themeColor="text1"/>
        </w:rPr>
        <w:t>US</w:t>
      </w:r>
      <w:r w:rsidR="008134B2">
        <w:rPr>
          <w:rFonts w:ascii="Book Antiqua" w:hAnsi="Book Antiqua"/>
          <w:color w:val="000000" w:themeColor="text1"/>
        </w:rPr>
        <w:t>$</w:t>
      </w:r>
      <w:r w:rsidR="00C51F2E">
        <w:rPr>
          <w:rFonts w:ascii="Book Antiqua" w:hAnsi="Book Antiqua"/>
          <w:color w:val="000000" w:themeColor="text1"/>
        </w:rPr>
        <w:t xml:space="preserve"> </w:t>
      </w:r>
      <w:r w:rsidRPr="003E35E9">
        <w:rPr>
          <w:rFonts w:ascii="Book Antiqua" w:hAnsi="Book Antiqua"/>
          <w:color w:val="000000" w:themeColor="text1"/>
        </w:rPr>
        <w:t>100,000</w:t>
      </w:r>
      <w:r w:rsidR="00C51F2E">
        <w:rPr>
          <w:rFonts w:ascii="Book Antiqua" w:hAnsi="Book Antiqua"/>
          <w:color w:val="000000" w:themeColor="text1"/>
        </w:rPr>
        <w:t xml:space="preserve"> – US</w:t>
      </w:r>
      <w:r w:rsidR="008134B2">
        <w:rPr>
          <w:rFonts w:ascii="Book Antiqua" w:hAnsi="Book Antiqua"/>
          <w:color w:val="000000" w:themeColor="text1"/>
        </w:rPr>
        <w:t>$</w:t>
      </w:r>
      <w:r w:rsidR="00C51F2E">
        <w:rPr>
          <w:rFonts w:ascii="Book Antiqua" w:hAnsi="Book Antiqua"/>
          <w:color w:val="000000" w:themeColor="text1"/>
        </w:rPr>
        <w:t xml:space="preserve"> </w:t>
      </w:r>
      <w:r w:rsidRPr="003E35E9">
        <w:rPr>
          <w:rFonts w:ascii="Book Antiqua" w:hAnsi="Book Antiqua"/>
          <w:color w:val="000000" w:themeColor="text1"/>
        </w:rPr>
        <w:t>57,</w:t>
      </w:r>
      <w:r w:rsidR="009A4E83" w:rsidRPr="003E35E9">
        <w:rPr>
          <w:rFonts w:ascii="Book Antiqua" w:hAnsi="Book Antiqua"/>
          <w:color w:val="000000" w:themeColor="text1"/>
        </w:rPr>
        <w:t>6</w:t>
      </w:r>
      <w:r w:rsidRPr="003E35E9">
        <w:rPr>
          <w:rFonts w:ascii="Book Antiqua" w:hAnsi="Book Antiqua"/>
          <w:color w:val="000000" w:themeColor="text1"/>
        </w:rPr>
        <w:t>00</w:t>
      </w:r>
      <w:r w:rsidR="003D116E">
        <w:rPr>
          <w:rFonts w:ascii="Book Antiqua" w:hAnsi="Book Antiqua"/>
          <w:color w:val="000000" w:themeColor="text1"/>
        </w:rPr>
        <w:t>)</w:t>
      </w:r>
      <w:r w:rsidRPr="003E35E9">
        <w:rPr>
          <w:rFonts w:ascii="Book Antiqua" w:hAnsi="Book Antiqua"/>
          <w:color w:val="000000" w:themeColor="text1"/>
        </w:rPr>
        <w:t xml:space="preserve">. </w:t>
      </w:r>
      <w:r w:rsidR="00255E00" w:rsidRPr="003E35E9">
        <w:rPr>
          <w:rFonts w:ascii="Book Antiqua" w:hAnsi="Book Antiqua"/>
          <w:color w:val="000000" w:themeColor="text1"/>
        </w:rPr>
        <w:t xml:space="preserve">The </w:t>
      </w:r>
      <w:r w:rsidR="00712097" w:rsidRPr="003E35E9">
        <w:rPr>
          <w:rFonts w:ascii="Book Antiqua" w:hAnsi="Book Antiqua"/>
          <w:color w:val="000000" w:themeColor="text1"/>
        </w:rPr>
        <w:t xml:space="preserve">information of contributions is presented in </w:t>
      </w:r>
      <w:r w:rsidR="00E053D6">
        <w:rPr>
          <w:rFonts w:ascii="Book Antiqua" w:hAnsi="Book Antiqua"/>
          <w:color w:val="000000" w:themeColor="text1"/>
        </w:rPr>
        <w:t>T</w:t>
      </w:r>
      <w:r w:rsidRPr="003E35E9">
        <w:rPr>
          <w:rFonts w:ascii="Book Antiqua" w:hAnsi="Book Antiqua"/>
          <w:color w:val="000000" w:themeColor="text1"/>
        </w:rPr>
        <w:t xml:space="preserve">able 5. </w:t>
      </w:r>
    </w:p>
    <w:p w14:paraId="39152854" w14:textId="536ECF9F" w:rsidR="00730FC7" w:rsidRPr="00730FC7" w:rsidRDefault="00730FC7" w:rsidP="00CB6831">
      <w:pPr>
        <w:spacing w:after="0"/>
        <w:jc w:val="center"/>
        <w:rPr>
          <w:rFonts w:ascii="Book Antiqua" w:hAnsi="Book Antiqua"/>
          <w:color w:val="000000" w:themeColor="text1"/>
        </w:rPr>
      </w:pPr>
      <w:r w:rsidRPr="00730FC7">
        <w:rPr>
          <w:b/>
          <w:bCs/>
        </w:rPr>
        <w:t xml:space="preserve">Table 5. </w:t>
      </w:r>
      <w:r w:rsidR="00661B46">
        <w:rPr>
          <w:b/>
          <w:bCs/>
        </w:rPr>
        <w:t xml:space="preserve">Member States’ </w:t>
      </w:r>
      <w:r w:rsidR="00661B46" w:rsidRPr="00730FC7">
        <w:rPr>
          <w:b/>
          <w:bCs/>
        </w:rPr>
        <w:t>contribution</w:t>
      </w:r>
      <w:r w:rsidR="00661B46">
        <w:rPr>
          <w:b/>
          <w:bCs/>
        </w:rPr>
        <w:t xml:space="preserve"> to NEASPEC</w:t>
      </w:r>
      <w:r w:rsidRPr="00730FC7">
        <w:rPr>
          <w:b/>
          <w:bCs/>
        </w:rPr>
        <w:t xml:space="preserve"> Core</w:t>
      </w:r>
      <w:r w:rsidR="00E053D6">
        <w:rPr>
          <w:b/>
          <w:bCs/>
        </w:rPr>
        <w:t xml:space="preserve"> Fund</w:t>
      </w:r>
      <w:r w:rsidRPr="00730FC7">
        <w:rPr>
          <w:b/>
          <w:bCs/>
        </w:rPr>
        <w:t xml:space="preserve"> and Project-based </w:t>
      </w:r>
      <w:r w:rsidR="00E053D6">
        <w:rPr>
          <w:b/>
          <w:bCs/>
        </w:rPr>
        <w:t>F</w:t>
      </w:r>
      <w:r w:rsidRPr="00730FC7">
        <w:rPr>
          <w:b/>
          <w:bCs/>
        </w:rPr>
        <w:t xml:space="preserve">und </w:t>
      </w:r>
      <w:r w:rsidR="00661B46">
        <w:rPr>
          <w:b/>
          <w:bCs/>
        </w:rPr>
        <w:t>(2000-2020)</w:t>
      </w:r>
    </w:p>
    <w:tbl>
      <w:tblPr>
        <w:tblW w:w="9504" w:type="dxa"/>
        <w:tblLook w:val="04A0" w:firstRow="1" w:lastRow="0" w:firstColumn="1" w:lastColumn="0" w:noHBand="0" w:noVBand="1"/>
      </w:tblPr>
      <w:tblGrid>
        <w:gridCol w:w="764"/>
        <w:gridCol w:w="1174"/>
        <w:gridCol w:w="1010"/>
        <w:gridCol w:w="1165"/>
        <w:gridCol w:w="1130"/>
        <w:gridCol w:w="1198"/>
        <w:gridCol w:w="1602"/>
        <w:gridCol w:w="1461"/>
      </w:tblGrid>
      <w:tr w:rsidR="00730FC7" w:rsidRPr="00290321" w14:paraId="5D40975C" w14:textId="77777777" w:rsidTr="00730FC7">
        <w:trPr>
          <w:trHeight w:val="450"/>
        </w:trPr>
        <w:tc>
          <w:tcPr>
            <w:tcW w:w="764" w:type="dxa"/>
            <w:vMerge w:val="restart"/>
            <w:tcBorders>
              <w:top w:val="single" w:sz="8" w:space="0" w:color="auto"/>
              <w:left w:val="single" w:sz="8" w:space="0" w:color="auto"/>
              <w:bottom w:val="single" w:sz="8" w:space="0" w:color="000000"/>
              <w:right w:val="single" w:sz="4" w:space="0" w:color="auto"/>
              <w:tl2br w:val="single" w:sz="4" w:space="0" w:color="auto"/>
            </w:tcBorders>
            <w:shd w:val="clear" w:color="000000" w:fill="FFFFFF"/>
            <w:vAlign w:val="center"/>
            <w:hideMark/>
          </w:tcPr>
          <w:p w14:paraId="12643FF6"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 </w:t>
            </w:r>
          </w:p>
        </w:tc>
        <w:tc>
          <w:tcPr>
            <w:tcW w:w="117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AF6842E"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China</w:t>
            </w:r>
          </w:p>
        </w:tc>
        <w:tc>
          <w:tcPr>
            <w:tcW w:w="101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4E399AF2"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DPRK</w:t>
            </w:r>
          </w:p>
        </w:tc>
        <w:tc>
          <w:tcPr>
            <w:tcW w:w="116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2FA25A3"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Japan</w:t>
            </w:r>
          </w:p>
        </w:tc>
        <w:tc>
          <w:tcPr>
            <w:tcW w:w="113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1828B06"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Mongolia</w:t>
            </w:r>
          </w:p>
        </w:tc>
        <w:tc>
          <w:tcPr>
            <w:tcW w:w="119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81C307C"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ROK</w:t>
            </w:r>
          </w:p>
        </w:tc>
        <w:tc>
          <w:tcPr>
            <w:tcW w:w="1602" w:type="dxa"/>
            <w:vMerge w:val="restart"/>
            <w:tcBorders>
              <w:top w:val="single" w:sz="8" w:space="0" w:color="auto"/>
              <w:left w:val="single" w:sz="4" w:space="0" w:color="auto"/>
              <w:bottom w:val="single" w:sz="8" w:space="0" w:color="000000"/>
              <w:right w:val="nil"/>
            </w:tcBorders>
            <w:shd w:val="clear" w:color="000000" w:fill="FFFFFF"/>
            <w:vAlign w:val="center"/>
            <w:hideMark/>
          </w:tcPr>
          <w:p w14:paraId="5C7CCD93"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 xml:space="preserve">Russia </w:t>
            </w:r>
            <w:r w:rsidRPr="00290321">
              <w:rPr>
                <w:rFonts w:ascii="Calibri" w:eastAsia="Times New Roman" w:hAnsi="Calibri" w:cs="Calibri"/>
                <w:b/>
                <w:bCs/>
                <w:color w:val="000000"/>
              </w:rPr>
              <w:br/>
              <w:t>(project fund)</w:t>
            </w:r>
          </w:p>
        </w:tc>
        <w:tc>
          <w:tcPr>
            <w:tcW w:w="146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AE77A03" w14:textId="4D379E8E"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TOTAL</w:t>
            </w:r>
            <w:r w:rsidR="003061AB">
              <w:rPr>
                <w:rFonts w:ascii="Calibri" w:eastAsia="Times New Roman" w:hAnsi="Calibri" w:cs="Calibri"/>
                <w:b/>
                <w:bCs/>
                <w:color w:val="000000"/>
              </w:rPr>
              <w:t xml:space="preserve"> (US$)</w:t>
            </w:r>
          </w:p>
        </w:tc>
      </w:tr>
      <w:tr w:rsidR="00730FC7" w:rsidRPr="00290321" w14:paraId="4312AD25" w14:textId="77777777" w:rsidTr="00D875FE">
        <w:trPr>
          <w:trHeight w:val="450"/>
        </w:trPr>
        <w:tc>
          <w:tcPr>
            <w:tcW w:w="764" w:type="dxa"/>
            <w:vMerge/>
            <w:tcBorders>
              <w:top w:val="single" w:sz="8" w:space="0" w:color="auto"/>
              <w:left w:val="single" w:sz="8" w:space="0" w:color="auto"/>
              <w:bottom w:val="single" w:sz="8" w:space="0" w:color="000000"/>
              <w:right w:val="single" w:sz="4" w:space="0" w:color="auto"/>
            </w:tcBorders>
            <w:vAlign w:val="center"/>
            <w:hideMark/>
          </w:tcPr>
          <w:p w14:paraId="11FB8F33" w14:textId="77777777" w:rsidR="00730FC7" w:rsidRPr="00290321" w:rsidRDefault="00730FC7" w:rsidP="00661B46">
            <w:pPr>
              <w:spacing w:after="0" w:line="240" w:lineRule="auto"/>
              <w:rPr>
                <w:rFonts w:ascii="Calibri" w:eastAsia="Times New Roman" w:hAnsi="Calibri" w:cs="Calibri"/>
                <w:b/>
                <w:bCs/>
                <w:color w:val="000000"/>
              </w:rPr>
            </w:pPr>
          </w:p>
        </w:tc>
        <w:tc>
          <w:tcPr>
            <w:tcW w:w="1174" w:type="dxa"/>
            <w:vMerge/>
            <w:tcBorders>
              <w:top w:val="single" w:sz="8" w:space="0" w:color="auto"/>
              <w:left w:val="single" w:sz="4" w:space="0" w:color="auto"/>
              <w:bottom w:val="single" w:sz="8" w:space="0" w:color="000000"/>
              <w:right w:val="single" w:sz="4" w:space="0" w:color="auto"/>
            </w:tcBorders>
            <w:vAlign w:val="center"/>
            <w:hideMark/>
          </w:tcPr>
          <w:p w14:paraId="7AB144C8" w14:textId="77777777" w:rsidR="00730FC7" w:rsidRPr="00290321" w:rsidRDefault="00730FC7" w:rsidP="00661B46">
            <w:pPr>
              <w:spacing w:after="0" w:line="240" w:lineRule="auto"/>
              <w:rPr>
                <w:rFonts w:ascii="Calibri" w:eastAsia="Times New Roman" w:hAnsi="Calibri" w:cs="Calibri"/>
                <w:b/>
                <w:bCs/>
                <w:color w:val="000000"/>
              </w:rPr>
            </w:pPr>
          </w:p>
        </w:tc>
        <w:tc>
          <w:tcPr>
            <w:tcW w:w="1010" w:type="dxa"/>
            <w:vMerge/>
            <w:tcBorders>
              <w:top w:val="single" w:sz="8" w:space="0" w:color="auto"/>
              <w:left w:val="single" w:sz="4" w:space="0" w:color="auto"/>
              <w:bottom w:val="single" w:sz="8" w:space="0" w:color="000000"/>
              <w:right w:val="single" w:sz="4" w:space="0" w:color="auto"/>
            </w:tcBorders>
            <w:vAlign w:val="center"/>
            <w:hideMark/>
          </w:tcPr>
          <w:p w14:paraId="7DA8A1C4" w14:textId="77777777" w:rsidR="00730FC7" w:rsidRPr="00290321" w:rsidRDefault="00730FC7" w:rsidP="00661B46">
            <w:pPr>
              <w:spacing w:after="0" w:line="240" w:lineRule="auto"/>
              <w:rPr>
                <w:rFonts w:ascii="Calibri" w:eastAsia="Times New Roman" w:hAnsi="Calibri" w:cs="Calibri"/>
                <w:b/>
                <w:bCs/>
                <w:color w:val="000000"/>
              </w:rPr>
            </w:pPr>
          </w:p>
        </w:tc>
        <w:tc>
          <w:tcPr>
            <w:tcW w:w="1165" w:type="dxa"/>
            <w:vMerge/>
            <w:tcBorders>
              <w:top w:val="single" w:sz="8" w:space="0" w:color="auto"/>
              <w:left w:val="single" w:sz="4" w:space="0" w:color="auto"/>
              <w:bottom w:val="single" w:sz="8" w:space="0" w:color="000000"/>
              <w:right w:val="single" w:sz="4" w:space="0" w:color="auto"/>
            </w:tcBorders>
            <w:vAlign w:val="center"/>
            <w:hideMark/>
          </w:tcPr>
          <w:p w14:paraId="4952D8CF" w14:textId="77777777" w:rsidR="00730FC7" w:rsidRPr="00290321" w:rsidRDefault="00730FC7" w:rsidP="00661B46">
            <w:pPr>
              <w:spacing w:after="0" w:line="240" w:lineRule="auto"/>
              <w:rPr>
                <w:rFonts w:ascii="Calibri" w:eastAsia="Times New Roman" w:hAnsi="Calibri" w:cs="Calibri"/>
                <w:b/>
                <w:bCs/>
                <w:color w:val="000000"/>
              </w:rPr>
            </w:pPr>
          </w:p>
        </w:tc>
        <w:tc>
          <w:tcPr>
            <w:tcW w:w="1130" w:type="dxa"/>
            <w:vMerge/>
            <w:tcBorders>
              <w:top w:val="single" w:sz="8" w:space="0" w:color="auto"/>
              <w:left w:val="single" w:sz="4" w:space="0" w:color="auto"/>
              <w:bottom w:val="single" w:sz="8" w:space="0" w:color="000000"/>
              <w:right w:val="single" w:sz="4" w:space="0" w:color="auto"/>
            </w:tcBorders>
            <w:vAlign w:val="center"/>
            <w:hideMark/>
          </w:tcPr>
          <w:p w14:paraId="0A5459BD" w14:textId="77777777" w:rsidR="00730FC7" w:rsidRPr="00290321" w:rsidRDefault="00730FC7" w:rsidP="00661B46">
            <w:pPr>
              <w:spacing w:after="0" w:line="240" w:lineRule="auto"/>
              <w:rPr>
                <w:rFonts w:ascii="Calibri" w:eastAsia="Times New Roman" w:hAnsi="Calibri" w:cs="Calibri"/>
                <w:b/>
                <w:bCs/>
                <w:color w:val="000000"/>
              </w:rPr>
            </w:pPr>
          </w:p>
        </w:tc>
        <w:tc>
          <w:tcPr>
            <w:tcW w:w="1198" w:type="dxa"/>
            <w:vMerge/>
            <w:tcBorders>
              <w:top w:val="single" w:sz="8" w:space="0" w:color="auto"/>
              <w:left w:val="single" w:sz="4" w:space="0" w:color="auto"/>
              <w:bottom w:val="single" w:sz="8" w:space="0" w:color="000000"/>
              <w:right w:val="single" w:sz="4" w:space="0" w:color="auto"/>
            </w:tcBorders>
            <w:vAlign w:val="center"/>
            <w:hideMark/>
          </w:tcPr>
          <w:p w14:paraId="610367A6" w14:textId="77777777" w:rsidR="00730FC7" w:rsidRPr="00290321" w:rsidRDefault="00730FC7" w:rsidP="00661B46">
            <w:pPr>
              <w:spacing w:after="0" w:line="240" w:lineRule="auto"/>
              <w:rPr>
                <w:rFonts w:ascii="Calibri" w:eastAsia="Times New Roman" w:hAnsi="Calibri" w:cs="Calibri"/>
                <w:b/>
                <w:bCs/>
                <w:color w:val="000000"/>
              </w:rPr>
            </w:pPr>
          </w:p>
        </w:tc>
        <w:tc>
          <w:tcPr>
            <w:tcW w:w="1602" w:type="dxa"/>
            <w:vMerge/>
            <w:tcBorders>
              <w:top w:val="single" w:sz="8" w:space="0" w:color="auto"/>
              <w:left w:val="single" w:sz="4" w:space="0" w:color="auto"/>
              <w:bottom w:val="single" w:sz="8" w:space="0" w:color="000000"/>
              <w:right w:val="nil"/>
            </w:tcBorders>
            <w:vAlign w:val="center"/>
            <w:hideMark/>
          </w:tcPr>
          <w:p w14:paraId="5AAC29CA" w14:textId="77777777" w:rsidR="00730FC7" w:rsidRPr="00290321" w:rsidRDefault="00730FC7" w:rsidP="00661B46">
            <w:pPr>
              <w:spacing w:after="0" w:line="240" w:lineRule="auto"/>
              <w:rPr>
                <w:rFonts w:ascii="Calibri" w:eastAsia="Times New Roman" w:hAnsi="Calibri" w:cs="Calibri"/>
                <w:b/>
                <w:bCs/>
                <w:color w:val="000000"/>
              </w:rPr>
            </w:pPr>
          </w:p>
        </w:tc>
        <w:tc>
          <w:tcPr>
            <w:tcW w:w="1461" w:type="dxa"/>
            <w:vMerge/>
            <w:tcBorders>
              <w:top w:val="single" w:sz="8" w:space="0" w:color="auto"/>
              <w:left w:val="single" w:sz="8" w:space="0" w:color="auto"/>
              <w:bottom w:val="single" w:sz="8" w:space="0" w:color="000000"/>
              <w:right w:val="single" w:sz="8" w:space="0" w:color="auto"/>
            </w:tcBorders>
            <w:vAlign w:val="center"/>
            <w:hideMark/>
          </w:tcPr>
          <w:p w14:paraId="19CC0619" w14:textId="77777777" w:rsidR="00730FC7" w:rsidRPr="00290321" w:rsidRDefault="00730FC7" w:rsidP="00661B46">
            <w:pPr>
              <w:spacing w:after="0" w:line="240" w:lineRule="auto"/>
              <w:rPr>
                <w:rFonts w:ascii="Calibri" w:eastAsia="Times New Roman" w:hAnsi="Calibri" w:cs="Calibri"/>
                <w:b/>
                <w:bCs/>
                <w:color w:val="000000"/>
              </w:rPr>
            </w:pPr>
          </w:p>
        </w:tc>
      </w:tr>
      <w:tr w:rsidR="00730FC7" w:rsidRPr="00290321" w14:paraId="34CD3284"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3E8949E5"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2000</w:t>
            </w:r>
          </w:p>
        </w:tc>
        <w:tc>
          <w:tcPr>
            <w:tcW w:w="1174" w:type="dxa"/>
            <w:tcBorders>
              <w:top w:val="nil"/>
              <w:left w:val="nil"/>
              <w:bottom w:val="single" w:sz="4" w:space="0" w:color="auto"/>
              <w:right w:val="single" w:sz="4" w:space="0" w:color="auto"/>
            </w:tcBorders>
            <w:shd w:val="clear" w:color="000000" w:fill="FFFFFF"/>
            <w:vAlign w:val="center"/>
            <w:hideMark/>
          </w:tcPr>
          <w:p w14:paraId="33E4ADC9"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010" w:type="dxa"/>
            <w:tcBorders>
              <w:top w:val="nil"/>
              <w:left w:val="nil"/>
              <w:bottom w:val="single" w:sz="4" w:space="0" w:color="auto"/>
              <w:right w:val="single" w:sz="4" w:space="0" w:color="auto"/>
            </w:tcBorders>
            <w:shd w:val="clear" w:color="000000" w:fill="FFFFFF"/>
            <w:vAlign w:val="center"/>
            <w:hideMark/>
          </w:tcPr>
          <w:p w14:paraId="66EBB87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7C10426F"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16D185AD"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7F02004E"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c>
          <w:tcPr>
            <w:tcW w:w="1602" w:type="dxa"/>
            <w:tcBorders>
              <w:top w:val="nil"/>
              <w:left w:val="nil"/>
              <w:bottom w:val="single" w:sz="4" w:space="0" w:color="auto"/>
              <w:right w:val="nil"/>
            </w:tcBorders>
            <w:shd w:val="clear" w:color="000000" w:fill="FFFFFF"/>
            <w:vAlign w:val="center"/>
            <w:hideMark/>
          </w:tcPr>
          <w:p w14:paraId="0AD2B4F6"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50750853"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r>
      <w:tr w:rsidR="00730FC7" w:rsidRPr="00290321" w14:paraId="796B2506"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3F17CE0A"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2001</w:t>
            </w:r>
          </w:p>
        </w:tc>
        <w:tc>
          <w:tcPr>
            <w:tcW w:w="1174" w:type="dxa"/>
            <w:tcBorders>
              <w:top w:val="nil"/>
              <w:left w:val="nil"/>
              <w:bottom w:val="single" w:sz="4" w:space="0" w:color="auto"/>
              <w:right w:val="single" w:sz="4" w:space="0" w:color="auto"/>
            </w:tcBorders>
            <w:shd w:val="clear" w:color="000000" w:fill="FFFFFF"/>
            <w:vAlign w:val="center"/>
            <w:hideMark/>
          </w:tcPr>
          <w:p w14:paraId="0F48388B"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010" w:type="dxa"/>
            <w:tcBorders>
              <w:top w:val="nil"/>
              <w:left w:val="nil"/>
              <w:bottom w:val="single" w:sz="4" w:space="0" w:color="auto"/>
              <w:right w:val="single" w:sz="4" w:space="0" w:color="auto"/>
            </w:tcBorders>
            <w:shd w:val="clear" w:color="000000" w:fill="FFFFFF"/>
            <w:vAlign w:val="center"/>
            <w:hideMark/>
          </w:tcPr>
          <w:p w14:paraId="60ADD6FB"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081D34A7"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c>
          <w:tcPr>
            <w:tcW w:w="1130" w:type="dxa"/>
            <w:tcBorders>
              <w:top w:val="nil"/>
              <w:left w:val="nil"/>
              <w:bottom w:val="single" w:sz="4" w:space="0" w:color="auto"/>
              <w:right w:val="single" w:sz="4" w:space="0" w:color="auto"/>
            </w:tcBorders>
            <w:shd w:val="clear" w:color="000000" w:fill="FFFFFF"/>
            <w:vAlign w:val="center"/>
            <w:hideMark/>
          </w:tcPr>
          <w:p w14:paraId="6379997F"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4B028B22"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c>
          <w:tcPr>
            <w:tcW w:w="1602" w:type="dxa"/>
            <w:tcBorders>
              <w:top w:val="nil"/>
              <w:left w:val="nil"/>
              <w:bottom w:val="single" w:sz="4" w:space="0" w:color="auto"/>
              <w:right w:val="nil"/>
            </w:tcBorders>
            <w:shd w:val="clear" w:color="000000" w:fill="FFFFFF"/>
            <w:vAlign w:val="center"/>
            <w:hideMark/>
          </w:tcPr>
          <w:p w14:paraId="3BA063B4"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131DCDC1"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200,000</w:t>
            </w:r>
          </w:p>
        </w:tc>
      </w:tr>
      <w:tr w:rsidR="00730FC7" w:rsidRPr="00290321" w14:paraId="5B8FDF16"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1E785510"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2002</w:t>
            </w:r>
          </w:p>
        </w:tc>
        <w:tc>
          <w:tcPr>
            <w:tcW w:w="1174" w:type="dxa"/>
            <w:tcBorders>
              <w:top w:val="nil"/>
              <w:left w:val="nil"/>
              <w:bottom w:val="single" w:sz="4" w:space="0" w:color="auto"/>
              <w:right w:val="single" w:sz="4" w:space="0" w:color="auto"/>
            </w:tcBorders>
            <w:shd w:val="clear" w:color="000000" w:fill="FFFFFF"/>
            <w:vAlign w:val="center"/>
            <w:hideMark/>
          </w:tcPr>
          <w:p w14:paraId="09640049"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010" w:type="dxa"/>
            <w:tcBorders>
              <w:top w:val="nil"/>
              <w:left w:val="nil"/>
              <w:bottom w:val="single" w:sz="4" w:space="0" w:color="auto"/>
              <w:right w:val="single" w:sz="4" w:space="0" w:color="auto"/>
            </w:tcBorders>
            <w:shd w:val="clear" w:color="000000" w:fill="FFFFFF"/>
            <w:vAlign w:val="center"/>
            <w:hideMark/>
          </w:tcPr>
          <w:p w14:paraId="5C6BB03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2A53CA3B"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6B81FF44"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752AB8A1"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c>
          <w:tcPr>
            <w:tcW w:w="1602" w:type="dxa"/>
            <w:tcBorders>
              <w:top w:val="nil"/>
              <w:left w:val="nil"/>
              <w:bottom w:val="single" w:sz="4" w:space="0" w:color="auto"/>
              <w:right w:val="nil"/>
            </w:tcBorders>
            <w:shd w:val="clear" w:color="000000" w:fill="FFFFFF"/>
            <w:vAlign w:val="center"/>
            <w:hideMark/>
          </w:tcPr>
          <w:p w14:paraId="02F9EC1B"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48E385C6"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r>
      <w:tr w:rsidR="00730FC7" w:rsidRPr="00290321" w14:paraId="406C3EF1"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396E3DE3"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2003</w:t>
            </w:r>
          </w:p>
        </w:tc>
        <w:tc>
          <w:tcPr>
            <w:tcW w:w="1174" w:type="dxa"/>
            <w:tcBorders>
              <w:top w:val="nil"/>
              <w:left w:val="nil"/>
              <w:bottom w:val="single" w:sz="4" w:space="0" w:color="auto"/>
              <w:right w:val="single" w:sz="4" w:space="0" w:color="auto"/>
            </w:tcBorders>
            <w:shd w:val="clear" w:color="000000" w:fill="FFFFFF"/>
            <w:vAlign w:val="center"/>
            <w:hideMark/>
          </w:tcPr>
          <w:p w14:paraId="554900B6"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49,985</w:t>
            </w:r>
          </w:p>
        </w:tc>
        <w:tc>
          <w:tcPr>
            <w:tcW w:w="1010" w:type="dxa"/>
            <w:tcBorders>
              <w:top w:val="nil"/>
              <w:left w:val="nil"/>
              <w:bottom w:val="single" w:sz="4" w:space="0" w:color="auto"/>
              <w:right w:val="single" w:sz="4" w:space="0" w:color="auto"/>
            </w:tcBorders>
            <w:shd w:val="clear" w:color="000000" w:fill="FFFFFF"/>
            <w:vAlign w:val="center"/>
            <w:hideMark/>
          </w:tcPr>
          <w:p w14:paraId="6CAD1863"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478D78BD"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72,000</w:t>
            </w:r>
          </w:p>
        </w:tc>
        <w:tc>
          <w:tcPr>
            <w:tcW w:w="1130" w:type="dxa"/>
            <w:tcBorders>
              <w:top w:val="nil"/>
              <w:left w:val="nil"/>
              <w:bottom w:val="single" w:sz="4" w:space="0" w:color="auto"/>
              <w:right w:val="single" w:sz="4" w:space="0" w:color="auto"/>
            </w:tcBorders>
            <w:shd w:val="clear" w:color="000000" w:fill="FFFFFF"/>
            <w:vAlign w:val="center"/>
            <w:hideMark/>
          </w:tcPr>
          <w:p w14:paraId="195DBE5C"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3C5C7EC7"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602" w:type="dxa"/>
            <w:tcBorders>
              <w:top w:val="nil"/>
              <w:left w:val="nil"/>
              <w:bottom w:val="single" w:sz="4" w:space="0" w:color="auto"/>
              <w:right w:val="nil"/>
            </w:tcBorders>
            <w:shd w:val="clear" w:color="000000" w:fill="FFFFFF"/>
            <w:vAlign w:val="center"/>
            <w:hideMark/>
          </w:tcPr>
          <w:p w14:paraId="43786A57"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7D946178"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121,985</w:t>
            </w:r>
          </w:p>
        </w:tc>
      </w:tr>
      <w:tr w:rsidR="00730FC7" w:rsidRPr="00290321" w14:paraId="108F90BA"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13B77141"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2004</w:t>
            </w:r>
          </w:p>
        </w:tc>
        <w:tc>
          <w:tcPr>
            <w:tcW w:w="1174" w:type="dxa"/>
            <w:tcBorders>
              <w:top w:val="nil"/>
              <w:left w:val="nil"/>
              <w:bottom w:val="single" w:sz="4" w:space="0" w:color="auto"/>
              <w:right w:val="single" w:sz="4" w:space="0" w:color="auto"/>
            </w:tcBorders>
            <w:shd w:val="clear" w:color="000000" w:fill="FFFFFF"/>
            <w:vAlign w:val="center"/>
            <w:hideMark/>
          </w:tcPr>
          <w:p w14:paraId="7F808BF2"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010" w:type="dxa"/>
            <w:tcBorders>
              <w:top w:val="nil"/>
              <w:left w:val="nil"/>
              <w:bottom w:val="single" w:sz="4" w:space="0" w:color="auto"/>
              <w:right w:val="single" w:sz="4" w:space="0" w:color="auto"/>
            </w:tcBorders>
            <w:shd w:val="clear" w:color="000000" w:fill="FFFFFF"/>
            <w:vAlign w:val="center"/>
            <w:hideMark/>
          </w:tcPr>
          <w:p w14:paraId="0185D21B"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05DA0DC9"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57,600</w:t>
            </w:r>
          </w:p>
        </w:tc>
        <w:tc>
          <w:tcPr>
            <w:tcW w:w="1130" w:type="dxa"/>
            <w:tcBorders>
              <w:top w:val="nil"/>
              <w:left w:val="nil"/>
              <w:bottom w:val="single" w:sz="4" w:space="0" w:color="auto"/>
              <w:right w:val="single" w:sz="4" w:space="0" w:color="auto"/>
            </w:tcBorders>
            <w:shd w:val="clear" w:color="000000" w:fill="FFFFFF"/>
            <w:vAlign w:val="center"/>
            <w:hideMark/>
          </w:tcPr>
          <w:p w14:paraId="194F7F70"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19D89921"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c>
          <w:tcPr>
            <w:tcW w:w="1602" w:type="dxa"/>
            <w:tcBorders>
              <w:top w:val="nil"/>
              <w:left w:val="nil"/>
              <w:bottom w:val="single" w:sz="4" w:space="0" w:color="auto"/>
              <w:right w:val="nil"/>
            </w:tcBorders>
            <w:shd w:val="clear" w:color="000000" w:fill="FFFFFF"/>
            <w:vAlign w:val="center"/>
            <w:hideMark/>
          </w:tcPr>
          <w:p w14:paraId="25774C5B"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6CB90206"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157,600</w:t>
            </w:r>
          </w:p>
        </w:tc>
      </w:tr>
      <w:tr w:rsidR="00730FC7" w:rsidRPr="00290321" w14:paraId="3AA5D420"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6EAFDC73"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2005</w:t>
            </w:r>
          </w:p>
        </w:tc>
        <w:tc>
          <w:tcPr>
            <w:tcW w:w="1174" w:type="dxa"/>
            <w:tcBorders>
              <w:top w:val="nil"/>
              <w:left w:val="nil"/>
              <w:bottom w:val="single" w:sz="4" w:space="0" w:color="auto"/>
              <w:right w:val="single" w:sz="4" w:space="0" w:color="auto"/>
            </w:tcBorders>
            <w:shd w:val="clear" w:color="000000" w:fill="FFFFFF"/>
            <w:vAlign w:val="center"/>
            <w:hideMark/>
          </w:tcPr>
          <w:p w14:paraId="6BA92069"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49,970</w:t>
            </w:r>
          </w:p>
        </w:tc>
        <w:tc>
          <w:tcPr>
            <w:tcW w:w="1010" w:type="dxa"/>
            <w:tcBorders>
              <w:top w:val="nil"/>
              <w:left w:val="nil"/>
              <w:bottom w:val="single" w:sz="4" w:space="0" w:color="auto"/>
              <w:right w:val="single" w:sz="4" w:space="0" w:color="auto"/>
            </w:tcBorders>
            <w:shd w:val="clear" w:color="000000" w:fill="FFFFFF"/>
            <w:vAlign w:val="center"/>
            <w:hideMark/>
          </w:tcPr>
          <w:p w14:paraId="524D4711"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79AC38CE"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5F0C2AAC"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70CE01CA"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602" w:type="dxa"/>
            <w:tcBorders>
              <w:top w:val="nil"/>
              <w:left w:val="nil"/>
              <w:bottom w:val="single" w:sz="4" w:space="0" w:color="auto"/>
              <w:right w:val="nil"/>
            </w:tcBorders>
            <w:shd w:val="clear" w:color="000000" w:fill="FFFFFF"/>
            <w:vAlign w:val="center"/>
            <w:hideMark/>
          </w:tcPr>
          <w:p w14:paraId="2A27A582"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4E05414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49,970</w:t>
            </w:r>
          </w:p>
        </w:tc>
      </w:tr>
      <w:tr w:rsidR="00730FC7" w:rsidRPr="00290321" w14:paraId="5290EA6A"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06C7A439"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2006</w:t>
            </w:r>
          </w:p>
        </w:tc>
        <w:tc>
          <w:tcPr>
            <w:tcW w:w="1174" w:type="dxa"/>
            <w:tcBorders>
              <w:top w:val="nil"/>
              <w:left w:val="nil"/>
              <w:bottom w:val="single" w:sz="4" w:space="0" w:color="auto"/>
              <w:right w:val="single" w:sz="4" w:space="0" w:color="auto"/>
            </w:tcBorders>
            <w:shd w:val="clear" w:color="000000" w:fill="FFFFFF"/>
            <w:vAlign w:val="center"/>
            <w:hideMark/>
          </w:tcPr>
          <w:p w14:paraId="33F3D4F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49,985</w:t>
            </w:r>
          </w:p>
        </w:tc>
        <w:tc>
          <w:tcPr>
            <w:tcW w:w="1010" w:type="dxa"/>
            <w:tcBorders>
              <w:top w:val="nil"/>
              <w:left w:val="nil"/>
              <w:bottom w:val="single" w:sz="4" w:space="0" w:color="auto"/>
              <w:right w:val="single" w:sz="4" w:space="0" w:color="auto"/>
            </w:tcBorders>
            <w:shd w:val="clear" w:color="000000" w:fill="FFFFFF"/>
            <w:vAlign w:val="center"/>
            <w:hideMark/>
          </w:tcPr>
          <w:p w14:paraId="2C3D81F6"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4EAF94BB"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40E9A60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5E92F0B8"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c>
          <w:tcPr>
            <w:tcW w:w="1602" w:type="dxa"/>
            <w:tcBorders>
              <w:top w:val="nil"/>
              <w:left w:val="nil"/>
              <w:bottom w:val="single" w:sz="4" w:space="0" w:color="auto"/>
              <w:right w:val="nil"/>
            </w:tcBorders>
            <w:shd w:val="clear" w:color="000000" w:fill="FFFFFF"/>
            <w:vAlign w:val="center"/>
            <w:hideMark/>
          </w:tcPr>
          <w:p w14:paraId="4629BA0E"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49D3848D"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149,985</w:t>
            </w:r>
          </w:p>
        </w:tc>
      </w:tr>
      <w:tr w:rsidR="00730FC7" w:rsidRPr="00290321" w14:paraId="7F490A02"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1C7DD281"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2007</w:t>
            </w:r>
          </w:p>
        </w:tc>
        <w:tc>
          <w:tcPr>
            <w:tcW w:w="1174" w:type="dxa"/>
            <w:tcBorders>
              <w:top w:val="nil"/>
              <w:left w:val="nil"/>
              <w:bottom w:val="single" w:sz="4" w:space="0" w:color="auto"/>
              <w:right w:val="single" w:sz="4" w:space="0" w:color="auto"/>
            </w:tcBorders>
            <w:shd w:val="clear" w:color="000000" w:fill="FFFFFF"/>
            <w:vAlign w:val="center"/>
            <w:hideMark/>
          </w:tcPr>
          <w:p w14:paraId="22016B38"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49,985</w:t>
            </w:r>
          </w:p>
        </w:tc>
        <w:tc>
          <w:tcPr>
            <w:tcW w:w="1010" w:type="dxa"/>
            <w:tcBorders>
              <w:top w:val="nil"/>
              <w:left w:val="nil"/>
              <w:bottom w:val="single" w:sz="4" w:space="0" w:color="auto"/>
              <w:right w:val="single" w:sz="4" w:space="0" w:color="auto"/>
            </w:tcBorders>
            <w:shd w:val="clear" w:color="000000" w:fill="FFFFFF"/>
            <w:vAlign w:val="center"/>
            <w:hideMark/>
          </w:tcPr>
          <w:p w14:paraId="2B7AFA58"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27E2C1E2"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4134D29E"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2280D73C"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c>
          <w:tcPr>
            <w:tcW w:w="1602" w:type="dxa"/>
            <w:tcBorders>
              <w:top w:val="nil"/>
              <w:left w:val="nil"/>
              <w:bottom w:val="single" w:sz="4" w:space="0" w:color="auto"/>
              <w:right w:val="nil"/>
            </w:tcBorders>
            <w:shd w:val="clear" w:color="000000" w:fill="FFFFFF"/>
            <w:vAlign w:val="center"/>
            <w:hideMark/>
          </w:tcPr>
          <w:p w14:paraId="43CDD87C"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4AF6F60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149,985</w:t>
            </w:r>
          </w:p>
        </w:tc>
      </w:tr>
      <w:tr w:rsidR="00730FC7" w:rsidRPr="00290321" w14:paraId="150E367A"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3011FA05"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2008</w:t>
            </w:r>
          </w:p>
        </w:tc>
        <w:tc>
          <w:tcPr>
            <w:tcW w:w="1174" w:type="dxa"/>
            <w:tcBorders>
              <w:top w:val="nil"/>
              <w:left w:val="nil"/>
              <w:bottom w:val="single" w:sz="4" w:space="0" w:color="auto"/>
              <w:right w:val="single" w:sz="4" w:space="0" w:color="auto"/>
            </w:tcBorders>
            <w:shd w:val="clear" w:color="000000" w:fill="FFFFFF"/>
            <w:vAlign w:val="center"/>
            <w:hideMark/>
          </w:tcPr>
          <w:p w14:paraId="3CB15F11"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49,985</w:t>
            </w:r>
          </w:p>
        </w:tc>
        <w:tc>
          <w:tcPr>
            <w:tcW w:w="1010" w:type="dxa"/>
            <w:tcBorders>
              <w:top w:val="nil"/>
              <w:left w:val="nil"/>
              <w:bottom w:val="single" w:sz="4" w:space="0" w:color="auto"/>
              <w:right w:val="single" w:sz="4" w:space="0" w:color="auto"/>
            </w:tcBorders>
            <w:shd w:val="clear" w:color="000000" w:fill="FFFFFF"/>
            <w:vAlign w:val="center"/>
            <w:hideMark/>
          </w:tcPr>
          <w:p w14:paraId="7B98F36D"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35BF9E26"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1322F3E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3EF354BC"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c>
          <w:tcPr>
            <w:tcW w:w="1602" w:type="dxa"/>
            <w:tcBorders>
              <w:top w:val="nil"/>
              <w:left w:val="nil"/>
              <w:bottom w:val="single" w:sz="4" w:space="0" w:color="auto"/>
              <w:right w:val="nil"/>
            </w:tcBorders>
            <w:shd w:val="clear" w:color="000000" w:fill="FFFFFF"/>
            <w:vAlign w:val="center"/>
            <w:hideMark/>
          </w:tcPr>
          <w:p w14:paraId="18068126"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4C9541E8"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149,985</w:t>
            </w:r>
          </w:p>
        </w:tc>
      </w:tr>
      <w:tr w:rsidR="00730FC7" w:rsidRPr="00290321" w14:paraId="02851557"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5D4CADF3"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2009</w:t>
            </w:r>
          </w:p>
        </w:tc>
        <w:tc>
          <w:tcPr>
            <w:tcW w:w="1174" w:type="dxa"/>
            <w:tcBorders>
              <w:top w:val="nil"/>
              <w:left w:val="nil"/>
              <w:bottom w:val="single" w:sz="4" w:space="0" w:color="auto"/>
              <w:right w:val="single" w:sz="4" w:space="0" w:color="auto"/>
            </w:tcBorders>
            <w:shd w:val="clear" w:color="000000" w:fill="FFFFFF"/>
            <w:vAlign w:val="center"/>
            <w:hideMark/>
          </w:tcPr>
          <w:p w14:paraId="61BA35FE"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49,985</w:t>
            </w:r>
          </w:p>
        </w:tc>
        <w:tc>
          <w:tcPr>
            <w:tcW w:w="1010" w:type="dxa"/>
            <w:tcBorders>
              <w:top w:val="nil"/>
              <w:left w:val="nil"/>
              <w:bottom w:val="single" w:sz="4" w:space="0" w:color="auto"/>
              <w:right w:val="single" w:sz="4" w:space="0" w:color="auto"/>
            </w:tcBorders>
            <w:shd w:val="clear" w:color="000000" w:fill="FFFFFF"/>
            <w:vAlign w:val="center"/>
            <w:hideMark/>
          </w:tcPr>
          <w:p w14:paraId="3FB62EA2"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4B27E321"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54414081"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665474B2"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602" w:type="dxa"/>
            <w:tcBorders>
              <w:top w:val="nil"/>
              <w:left w:val="nil"/>
              <w:bottom w:val="single" w:sz="4" w:space="0" w:color="auto"/>
              <w:right w:val="nil"/>
            </w:tcBorders>
            <w:shd w:val="clear" w:color="000000" w:fill="FFFFFF"/>
            <w:vAlign w:val="center"/>
            <w:hideMark/>
          </w:tcPr>
          <w:p w14:paraId="510DB6B7"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1627737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49,985</w:t>
            </w:r>
          </w:p>
        </w:tc>
      </w:tr>
      <w:tr w:rsidR="00730FC7" w:rsidRPr="00290321" w14:paraId="14B49189"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4690692C"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2010</w:t>
            </w:r>
          </w:p>
        </w:tc>
        <w:tc>
          <w:tcPr>
            <w:tcW w:w="1174" w:type="dxa"/>
            <w:tcBorders>
              <w:top w:val="nil"/>
              <w:left w:val="nil"/>
              <w:bottom w:val="single" w:sz="4" w:space="0" w:color="auto"/>
              <w:right w:val="single" w:sz="4" w:space="0" w:color="auto"/>
            </w:tcBorders>
            <w:shd w:val="clear" w:color="000000" w:fill="FFFFFF"/>
            <w:vAlign w:val="center"/>
            <w:hideMark/>
          </w:tcPr>
          <w:p w14:paraId="2D1F8A2A"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50,000</w:t>
            </w:r>
          </w:p>
        </w:tc>
        <w:tc>
          <w:tcPr>
            <w:tcW w:w="1010" w:type="dxa"/>
            <w:tcBorders>
              <w:top w:val="nil"/>
              <w:left w:val="nil"/>
              <w:bottom w:val="single" w:sz="4" w:space="0" w:color="auto"/>
              <w:right w:val="single" w:sz="4" w:space="0" w:color="auto"/>
            </w:tcBorders>
            <w:shd w:val="clear" w:color="000000" w:fill="FFFFFF"/>
            <w:vAlign w:val="center"/>
            <w:hideMark/>
          </w:tcPr>
          <w:p w14:paraId="2E043B2F"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735F5050"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2A990FE4"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4D0356FF"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602" w:type="dxa"/>
            <w:tcBorders>
              <w:top w:val="nil"/>
              <w:left w:val="nil"/>
              <w:bottom w:val="single" w:sz="4" w:space="0" w:color="auto"/>
              <w:right w:val="nil"/>
            </w:tcBorders>
            <w:shd w:val="clear" w:color="000000" w:fill="FFFFFF"/>
            <w:vAlign w:val="center"/>
            <w:hideMark/>
          </w:tcPr>
          <w:p w14:paraId="142D652F"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75,000</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2C8F68CF"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125,000</w:t>
            </w:r>
          </w:p>
        </w:tc>
      </w:tr>
      <w:tr w:rsidR="00730FC7" w:rsidRPr="00290321" w14:paraId="7F2F186C"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6E40016B"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2011</w:t>
            </w:r>
          </w:p>
        </w:tc>
        <w:tc>
          <w:tcPr>
            <w:tcW w:w="1174" w:type="dxa"/>
            <w:tcBorders>
              <w:top w:val="nil"/>
              <w:left w:val="nil"/>
              <w:bottom w:val="single" w:sz="4" w:space="0" w:color="auto"/>
              <w:right w:val="single" w:sz="4" w:space="0" w:color="auto"/>
            </w:tcBorders>
            <w:shd w:val="clear" w:color="000000" w:fill="FFFFFF"/>
            <w:vAlign w:val="center"/>
            <w:hideMark/>
          </w:tcPr>
          <w:p w14:paraId="28835F1B"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50,000</w:t>
            </w:r>
          </w:p>
        </w:tc>
        <w:tc>
          <w:tcPr>
            <w:tcW w:w="1010" w:type="dxa"/>
            <w:tcBorders>
              <w:top w:val="nil"/>
              <w:left w:val="nil"/>
              <w:bottom w:val="single" w:sz="4" w:space="0" w:color="auto"/>
              <w:right w:val="single" w:sz="4" w:space="0" w:color="auto"/>
            </w:tcBorders>
            <w:shd w:val="clear" w:color="000000" w:fill="FFFFFF"/>
            <w:vAlign w:val="center"/>
            <w:hideMark/>
          </w:tcPr>
          <w:p w14:paraId="52E464C0"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1EFA00B4"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77F9C2E4"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43B6AC4C"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c>
          <w:tcPr>
            <w:tcW w:w="1602" w:type="dxa"/>
            <w:tcBorders>
              <w:top w:val="nil"/>
              <w:left w:val="nil"/>
              <w:bottom w:val="single" w:sz="4" w:space="0" w:color="auto"/>
              <w:right w:val="nil"/>
            </w:tcBorders>
            <w:shd w:val="clear" w:color="000000" w:fill="FFFFFF"/>
            <w:vAlign w:val="center"/>
            <w:hideMark/>
          </w:tcPr>
          <w:p w14:paraId="51FCC908"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75,000</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69B9278C"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225,000</w:t>
            </w:r>
          </w:p>
        </w:tc>
      </w:tr>
      <w:tr w:rsidR="00730FC7" w:rsidRPr="00290321" w14:paraId="4C419F95"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4CC8DD05"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2012</w:t>
            </w:r>
          </w:p>
        </w:tc>
        <w:tc>
          <w:tcPr>
            <w:tcW w:w="1174" w:type="dxa"/>
            <w:tcBorders>
              <w:top w:val="nil"/>
              <w:left w:val="nil"/>
              <w:bottom w:val="single" w:sz="4" w:space="0" w:color="auto"/>
              <w:right w:val="single" w:sz="4" w:space="0" w:color="auto"/>
            </w:tcBorders>
            <w:shd w:val="clear" w:color="000000" w:fill="FFFFFF"/>
            <w:vAlign w:val="center"/>
            <w:hideMark/>
          </w:tcPr>
          <w:p w14:paraId="50D3F756"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50,000</w:t>
            </w:r>
          </w:p>
        </w:tc>
        <w:tc>
          <w:tcPr>
            <w:tcW w:w="1010" w:type="dxa"/>
            <w:tcBorders>
              <w:top w:val="nil"/>
              <w:left w:val="nil"/>
              <w:bottom w:val="single" w:sz="4" w:space="0" w:color="auto"/>
              <w:right w:val="single" w:sz="4" w:space="0" w:color="auto"/>
            </w:tcBorders>
            <w:shd w:val="clear" w:color="000000" w:fill="FFFFFF"/>
            <w:vAlign w:val="center"/>
            <w:hideMark/>
          </w:tcPr>
          <w:p w14:paraId="6EC47502"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01C9B49B"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322260EC"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6BED0391"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80,750</w:t>
            </w:r>
          </w:p>
        </w:tc>
        <w:tc>
          <w:tcPr>
            <w:tcW w:w="1602" w:type="dxa"/>
            <w:tcBorders>
              <w:top w:val="nil"/>
              <w:left w:val="nil"/>
              <w:bottom w:val="single" w:sz="4" w:space="0" w:color="auto"/>
              <w:right w:val="nil"/>
            </w:tcBorders>
            <w:shd w:val="clear" w:color="000000" w:fill="FFFFFF"/>
            <w:vAlign w:val="center"/>
            <w:hideMark/>
          </w:tcPr>
          <w:p w14:paraId="7EAECD9B"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 xml:space="preserve"> 60,000* </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13129DEF" w14:textId="55BB157F"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w:t>
            </w:r>
            <w:r w:rsidR="000A76DA">
              <w:rPr>
                <w:rFonts w:ascii="Calibri" w:eastAsia="Times New Roman" w:hAnsi="Calibri" w:cs="Calibri"/>
                <w:color w:val="000000"/>
              </w:rPr>
              <w:t>9</w:t>
            </w:r>
            <w:r w:rsidRPr="00290321">
              <w:rPr>
                <w:rFonts w:ascii="Calibri" w:eastAsia="Times New Roman" w:hAnsi="Calibri" w:cs="Calibri"/>
                <w:color w:val="000000"/>
              </w:rPr>
              <w:t>0,750</w:t>
            </w:r>
          </w:p>
        </w:tc>
      </w:tr>
      <w:tr w:rsidR="00730FC7" w:rsidRPr="00290321" w14:paraId="3493EF46"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0C93F518"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2013</w:t>
            </w:r>
          </w:p>
        </w:tc>
        <w:tc>
          <w:tcPr>
            <w:tcW w:w="1174" w:type="dxa"/>
            <w:tcBorders>
              <w:top w:val="nil"/>
              <w:left w:val="nil"/>
              <w:bottom w:val="single" w:sz="4" w:space="0" w:color="auto"/>
              <w:right w:val="single" w:sz="4" w:space="0" w:color="auto"/>
            </w:tcBorders>
            <w:shd w:val="clear" w:color="000000" w:fill="FFFFFF"/>
            <w:vAlign w:val="center"/>
            <w:hideMark/>
          </w:tcPr>
          <w:p w14:paraId="232E44A8"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50,000</w:t>
            </w:r>
          </w:p>
        </w:tc>
        <w:tc>
          <w:tcPr>
            <w:tcW w:w="1010" w:type="dxa"/>
            <w:tcBorders>
              <w:top w:val="nil"/>
              <w:left w:val="nil"/>
              <w:bottom w:val="single" w:sz="4" w:space="0" w:color="auto"/>
              <w:right w:val="single" w:sz="4" w:space="0" w:color="auto"/>
            </w:tcBorders>
            <w:shd w:val="clear" w:color="000000" w:fill="FFFFFF"/>
            <w:vAlign w:val="center"/>
            <w:hideMark/>
          </w:tcPr>
          <w:p w14:paraId="410C9794"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1B1FEB99"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329E1676"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75D08A73"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57,522</w:t>
            </w:r>
          </w:p>
        </w:tc>
        <w:tc>
          <w:tcPr>
            <w:tcW w:w="1602" w:type="dxa"/>
            <w:tcBorders>
              <w:top w:val="nil"/>
              <w:left w:val="nil"/>
              <w:bottom w:val="single" w:sz="4" w:space="0" w:color="auto"/>
              <w:right w:val="nil"/>
            </w:tcBorders>
            <w:shd w:val="clear" w:color="000000" w:fill="FFFFFF"/>
            <w:vAlign w:val="center"/>
            <w:hideMark/>
          </w:tcPr>
          <w:p w14:paraId="5C5C58F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5DCDA08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107,522</w:t>
            </w:r>
          </w:p>
        </w:tc>
      </w:tr>
      <w:tr w:rsidR="00730FC7" w:rsidRPr="00290321" w14:paraId="7A77515E"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2A4F2BEB"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2014</w:t>
            </w:r>
          </w:p>
        </w:tc>
        <w:tc>
          <w:tcPr>
            <w:tcW w:w="1174" w:type="dxa"/>
            <w:tcBorders>
              <w:top w:val="nil"/>
              <w:left w:val="nil"/>
              <w:bottom w:val="single" w:sz="4" w:space="0" w:color="auto"/>
              <w:right w:val="single" w:sz="4" w:space="0" w:color="auto"/>
            </w:tcBorders>
            <w:shd w:val="clear" w:color="000000" w:fill="FFFFFF"/>
            <w:vAlign w:val="center"/>
            <w:hideMark/>
          </w:tcPr>
          <w:p w14:paraId="3A54A7E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50,000</w:t>
            </w:r>
          </w:p>
        </w:tc>
        <w:tc>
          <w:tcPr>
            <w:tcW w:w="1010" w:type="dxa"/>
            <w:tcBorders>
              <w:top w:val="nil"/>
              <w:left w:val="nil"/>
              <w:bottom w:val="single" w:sz="4" w:space="0" w:color="auto"/>
              <w:right w:val="single" w:sz="4" w:space="0" w:color="auto"/>
            </w:tcBorders>
            <w:shd w:val="clear" w:color="000000" w:fill="FFFFFF"/>
            <w:vAlign w:val="center"/>
            <w:hideMark/>
          </w:tcPr>
          <w:p w14:paraId="5CB9C7A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5E2CDB68"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79EA162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246082D4"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58,000</w:t>
            </w:r>
          </w:p>
        </w:tc>
        <w:tc>
          <w:tcPr>
            <w:tcW w:w="1602" w:type="dxa"/>
            <w:tcBorders>
              <w:top w:val="nil"/>
              <w:left w:val="nil"/>
              <w:bottom w:val="single" w:sz="4" w:space="0" w:color="auto"/>
              <w:right w:val="nil"/>
            </w:tcBorders>
            <w:shd w:val="clear" w:color="000000" w:fill="FFFFFF"/>
            <w:vAlign w:val="center"/>
            <w:hideMark/>
          </w:tcPr>
          <w:p w14:paraId="2587BC62"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170,000</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6352CC5F"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278,000</w:t>
            </w:r>
          </w:p>
        </w:tc>
      </w:tr>
      <w:tr w:rsidR="00730FC7" w:rsidRPr="00290321" w14:paraId="23507155" w14:textId="77777777" w:rsidTr="00730FC7">
        <w:trPr>
          <w:trHeight w:val="499"/>
        </w:trPr>
        <w:tc>
          <w:tcPr>
            <w:tcW w:w="764" w:type="dxa"/>
            <w:tcBorders>
              <w:top w:val="nil"/>
              <w:left w:val="single" w:sz="8" w:space="0" w:color="auto"/>
              <w:bottom w:val="single" w:sz="4" w:space="0" w:color="auto"/>
              <w:right w:val="single" w:sz="4" w:space="0" w:color="auto"/>
            </w:tcBorders>
            <w:shd w:val="clear" w:color="000000" w:fill="FFFFFF"/>
            <w:vAlign w:val="center"/>
            <w:hideMark/>
          </w:tcPr>
          <w:p w14:paraId="4E7982D3"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2015</w:t>
            </w:r>
          </w:p>
        </w:tc>
        <w:tc>
          <w:tcPr>
            <w:tcW w:w="1174" w:type="dxa"/>
            <w:tcBorders>
              <w:top w:val="nil"/>
              <w:left w:val="nil"/>
              <w:bottom w:val="single" w:sz="4" w:space="0" w:color="auto"/>
              <w:right w:val="single" w:sz="4" w:space="0" w:color="auto"/>
            </w:tcBorders>
            <w:shd w:val="clear" w:color="000000" w:fill="FFFFFF"/>
            <w:vAlign w:val="center"/>
            <w:hideMark/>
          </w:tcPr>
          <w:p w14:paraId="269CC646"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50,000</w:t>
            </w:r>
          </w:p>
        </w:tc>
        <w:tc>
          <w:tcPr>
            <w:tcW w:w="1010" w:type="dxa"/>
            <w:tcBorders>
              <w:top w:val="nil"/>
              <w:left w:val="nil"/>
              <w:bottom w:val="single" w:sz="4" w:space="0" w:color="auto"/>
              <w:right w:val="single" w:sz="4" w:space="0" w:color="auto"/>
            </w:tcBorders>
            <w:shd w:val="clear" w:color="000000" w:fill="FFFFFF"/>
            <w:vAlign w:val="center"/>
            <w:hideMark/>
          </w:tcPr>
          <w:p w14:paraId="676F3B4D"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single" w:sz="4" w:space="0" w:color="auto"/>
              <w:right w:val="single" w:sz="4" w:space="0" w:color="auto"/>
            </w:tcBorders>
            <w:shd w:val="clear" w:color="000000" w:fill="FFFFFF"/>
            <w:vAlign w:val="center"/>
            <w:hideMark/>
          </w:tcPr>
          <w:p w14:paraId="3142EAF1"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single" w:sz="4" w:space="0" w:color="auto"/>
              <w:right w:val="single" w:sz="4" w:space="0" w:color="auto"/>
            </w:tcBorders>
            <w:shd w:val="clear" w:color="000000" w:fill="FFFFFF"/>
            <w:vAlign w:val="center"/>
            <w:hideMark/>
          </w:tcPr>
          <w:p w14:paraId="6F3BDD97"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single" w:sz="4" w:space="0" w:color="auto"/>
              <w:right w:val="single" w:sz="4" w:space="0" w:color="auto"/>
            </w:tcBorders>
            <w:shd w:val="clear" w:color="000000" w:fill="FFFFFF"/>
            <w:vAlign w:val="center"/>
            <w:hideMark/>
          </w:tcPr>
          <w:p w14:paraId="66B0D2FA"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121,487</w:t>
            </w:r>
          </w:p>
        </w:tc>
        <w:tc>
          <w:tcPr>
            <w:tcW w:w="1602" w:type="dxa"/>
            <w:tcBorders>
              <w:top w:val="nil"/>
              <w:left w:val="nil"/>
              <w:bottom w:val="single" w:sz="4" w:space="0" w:color="auto"/>
              <w:right w:val="nil"/>
            </w:tcBorders>
            <w:shd w:val="clear" w:color="000000" w:fill="FFFFFF"/>
            <w:vAlign w:val="center"/>
            <w:hideMark/>
          </w:tcPr>
          <w:p w14:paraId="289ABB08"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single" w:sz="4" w:space="0" w:color="auto"/>
              <w:right w:val="single" w:sz="8" w:space="0" w:color="auto"/>
            </w:tcBorders>
            <w:shd w:val="clear" w:color="000000" w:fill="F2F2F2"/>
            <w:vAlign w:val="center"/>
            <w:hideMark/>
          </w:tcPr>
          <w:p w14:paraId="5305DF32"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171,487</w:t>
            </w:r>
          </w:p>
        </w:tc>
      </w:tr>
      <w:tr w:rsidR="00730FC7" w:rsidRPr="00290321" w14:paraId="3150CBBA" w14:textId="77777777" w:rsidTr="00730FC7">
        <w:trPr>
          <w:trHeight w:val="499"/>
        </w:trPr>
        <w:tc>
          <w:tcPr>
            <w:tcW w:w="764" w:type="dxa"/>
            <w:tcBorders>
              <w:top w:val="nil"/>
              <w:left w:val="single" w:sz="8" w:space="0" w:color="auto"/>
              <w:bottom w:val="nil"/>
              <w:right w:val="single" w:sz="4" w:space="0" w:color="auto"/>
            </w:tcBorders>
            <w:shd w:val="clear" w:color="000000" w:fill="FFFFFF"/>
            <w:vAlign w:val="center"/>
            <w:hideMark/>
          </w:tcPr>
          <w:p w14:paraId="6018A07F"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2016</w:t>
            </w:r>
          </w:p>
        </w:tc>
        <w:tc>
          <w:tcPr>
            <w:tcW w:w="1174" w:type="dxa"/>
            <w:tcBorders>
              <w:top w:val="nil"/>
              <w:left w:val="nil"/>
              <w:bottom w:val="nil"/>
              <w:right w:val="single" w:sz="4" w:space="0" w:color="auto"/>
            </w:tcBorders>
            <w:shd w:val="clear" w:color="000000" w:fill="FFFFFF"/>
            <w:vAlign w:val="center"/>
            <w:hideMark/>
          </w:tcPr>
          <w:p w14:paraId="2BD20114"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50,000</w:t>
            </w:r>
          </w:p>
        </w:tc>
        <w:tc>
          <w:tcPr>
            <w:tcW w:w="1010" w:type="dxa"/>
            <w:tcBorders>
              <w:top w:val="nil"/>
              <w:left w:val="nil"/>
              <w:bottom w:val="nil"/>
              <w:right w:val="single" w:sz="4" w:space="0" w:color="auto"/>
            </w:tcBorders>
            <w:shd w:val="clear" w:color="000000" w:fill="FFFFFF"/>
            <w:vAlign w:val="center"/>
            <w:hideMark/>
          </w:tcPr>
          <w:p w14:paraId="3280270C"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nil"/>
              <w:left w:val="nil"/>
              <w:bottom w:val="nil"/>
              <w:right w:val="single" w:sz="4" w:space="0" w:color="auto"/>
            </w:tcBorders>
            <w:shd w:val="clear" w:color="000000" w:fill="FFFFFF"/>
            <w:vAlign w:val="center"/>
            <w:hideMark/>
          </w:tcPr>
          <w:p w14:paraId="7966B579"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nil"/>
              <w:left w:val="nil"/>
              <w:bottom w:val="nil"/>
              <w:right w:val="single" w:sz="4" w:space="0" w:color="auto"/>
            </w:tcBorders>
            <w:shd w:val="clear" w:color="000000" w:fill="FFFFFF"/>
            <w:vAlign w:val="center"/>
            <w:hideMark/>
          </w:tcPr>
          <w:p w14:paraId="744CD30C"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nil"/>
              <w:left w:val="nil"/>
              <w:bottom w:val="nil"/>
              <w:right w:val="single" w:sz="4" w:space="0" w:color="auto"/>
            </w:tcBorders>
            <w:shd w:val="clear" w:color="000000" w:fill="FFFFFF"/>
            <w:vAlign w:val="center"/>
            <w:hideMark/>
          </w:tcPr>
          <w:p w14:paraId="4249695F"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182,241</w:t>
            </w:r>
          </w:p>
        </w:tc>
        <w:tc>
          <w:tcPr>
            <w:tcW w:w="1602" w:type="dxa"/>
            <w:tcBorders>
              <w:top w:val="nil"/>
              <w:left w:val="nil"/>
              <w:bottom w:val="nil"/>
              <w:right w:val="nil"/>
            </w:tcBorders>
            <w:shd w:val="clear" w:color="000000" w:fill="FFFFFF"/>
            <w:vAlign w:val="center"/>
            <w:hideMark/>
          </w:tcPr>
          <w:p w14:paraId="155C3EA7"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nil"/>
              <w:left w:val="single" w:sz="8" w:space="0" w:color="auto"/>
              <w:bottom w:val="nil"/>
              <w:right w:val="single" w:sz="8" w:space="0" w:color="auto"/>
            </w:tcBorders>
            <w:shd w:val="clear" w:color="000000" w:fill="F2F2F2"/>
            <w:vAlign w:val="center"/>
            <w:hideMark/>
          </w:tcPr>
          <w:p w14:paraId="0EDC37AE"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232,241</w:t>
            </w:r>
          </w:p>
        </w:tc>
      </w:tr>
      <w:tr w:rsidR="00730FC7" w:rsidRPr="00290321" w14:paraId="35AE9D92" w14:textId="77777777" w:rsidTr="00730FC7">
        <w:trPr>
          <w:trHeight w:val="499"/>
        </w:trPr>
        <w:tc>
          <w:tcPr>
            <w:tcW w:w="764" w:type="dxa"/>
            <w:tcBorders>
              <w:top w:val="single" w:sz="4" w:space="0" w:color="auto"/>
              <w:left w:val="single" w:sz="8" w:space="0" w:color="auto"/>
              <w:bottom w:val="nil"/>
              <w:right w:val="single" w:sz="4" w:space="0" w:color="auto"/>
            </w:tcBorders>
            <w:shd w:val="clear" w:color="000000" w:fill="FFFFFF"/>
            <w:vAlign w:val="center"/>
            <w:hideMark/>
          </w:tcPr>
          <w:p w14:paraId="03A47D49"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2017</w:t>
            </w:r>
          </w:p>
        </w:tc>
        <w:tc>
          <w:tcPr>
            <w:tcW w:w="1174" w:type="dxa"/>
            <w:tcBorders>
              <w:top w:val="single" w:sz="4" w:space="0" w:color="auto"/>
              <w:left w:val="nil"/>
              <w:bottom w:val="nil"/>
              <w:right w:val="single" w:sz="4" w:space="0" w:color="auto"/>
            </w:tcBorders>
            <w:shd w:val="clear" w:color="000000" w:fill="FFFFFF"/>
            <w:vAlign w:val="center"/>
            <w:hideMark/>
          </w:tcPr>
          <w:p w14:paraId="5866FD69"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50,000</w:t>
            </w:r>
          </w:p>
        </w:tc>
        <w:tc>
          <w:tcPr>
            <w:tcW w:w="1010" w:type="dxa"/>
            <w:tcBorders>
              <w:top w:val="single" w:sz="4" w:space="0" w:color="auto"/>
              <w:left w:val="nil"/>
              <w:bottom w:val="nil"/>
              <w:right w:val="single" w:sz="4" w:space="0" w:color="auto"/>
            </w:tcBorders>
            <w:shd w:val="clear" w:color="000000" w:fill="FFFFFF"/>
            <w:vAlign w:val="center"/>
            <w:hideMark/>
          </w:tcPr>
          <w:p w14:paraId="02147F36"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single" w:sz="4" w:space="0" w:color="auto"/>
              <w:left w:val="nil"/>
              <w:bottom w:val="nil"/>
              <w:right w:val="single" w:sz="4" w:space="0" w:color="auto"/>
            </w:tcBorders>
            <w:shd w:val="clear" w:color="000000" w:fill="FFFFFF"/>
            <w:vAlign w:val="center"/>
            <w:hideMark/>
          </w:tcPr>
          <w:p w14:paraId="6760FAD4"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single" w:sz="4" w:space="0" w:color="auto"/>
              <w:left w:val="nil"/>
              <w:bottom w:val="nil"/>
              <w:right w:val="single" w:sz="4" w:space="0" w:color="auto"/>
            </w:tcBorders>
            <w:shd w:val="clear" w:color="000000" w:fill="FFFFFF"/>
            <w:vAlign w:val="center"/>
            <w:hideMark/>
          </w:tcPr>
          <w:p w14:paraId="0E838A69"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single" w:sz="4" w:space="0" w:color="auto"/>
              <w:left w:val="nil"/>
              <w:bottom w:val="nil"/>
              <w:right w:val="single" w:sz="4" w:space="0" w:color="auto"/>
            </w:tcBorders>
            <w:shd w:val="clear" w:color="000000" w:fill="FFFFFF"/>
            <w:vAlign w:val="center"/>
            <w:hideMark/>
          </w:tcPr>
          <w:p w14:paraId="67619E22"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c>
          <w:tcPr>
            <w:tcW w:w="1602" w:type="dxa"/>
            <w:tcBorders>
              <w:top w:val="single" w:sz="4" w:space="0" w:color="auto"/>
              <w:left w:val="nil"/>
              <w:bottom w:val="nil"/>
              <w:right w:val="nil"/>
            </w:tcBorders>
            <w:shd w:val="clear" w:color="000000" w:fill="FFFFFF"/>
            <w:vAlign w:val="center"/>
            <w:hideMark/>
          </w:tcPr>
          <w:p w14:paraId="26FC5CD7"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120,000</w:t>
            </w:r>
          </w:p>
        </w:tc>
        <w:tc>
          <w:tcPr>
            <w:tcW w:w="1461" w:type="dxa"/>
            <w:tcBorders>
              <w:top w:val="single" w:sz="4" w:space="0" w:color="auto"/>
              <w:left w:val="single" w:sz="8" w:space="0" w:color="auto"/>
              <w:bottom w:val="nil"/>
              <w:right w:val="single" w:sz="8" w:space="0" w:color="auto"/>
            </w:tcBorders>
            <w:shd w:val="clear" w:color="000000" w:fill="F2F2F2"/>
            <w:vAlign w:val="center"/>
            <w:hideMark/>
          </w:tcPr>
          <w:p w14:paraId="3A825974"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270,000</w:t>
            </w:r>
          </w:p>
        </w:tc>
      </w:tr>
      <w:tr w:rsidR="00730FC7" w:rsidRPr="00290321" w14:paraId="6CB7571A" w14:textId="77777777" w:rsidTr="003061AB">
        <w:trPr>
          <w:trHeight w:val="499"/>
        </w:trPr>
        <w:tc>
          <w:tcPr>
            <w:tcW w:w="764"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6DFA922"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2018</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D682E94"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50,000</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14:paraId="30CFCA92"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2E9AFE9C"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30" w:type="dxa"/>
            <w:tcBorders>
              <w:top w:val="single" w:sz="4" w:space="0" w:color="auto"/>
              <w:left w:val="nil"/>
              <w:bottom w:val="single" w:sz="4" w:space="0" w:color="auto"/>
              <w:right w:val="single" w:sz="4" w:space="0" w:color="auto"/>
            </w:tcBorders>
            <w:shd w:val="clear" w:color="000000" w:fill="FFFFFF"/>
            <w:vAlign w:val="center"/>
            <w:hideMark/>
          </w:tcPr>
          <w:p w14:paraId="0B2669A9"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5BB03AB4"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100,000</w:t>
            </w:r>
          </w:p>
        </w:tc>
        <w:tc>
          <w:tcPr>
            <w:tcW w:w="1602" w:type="dxa"/>
            <w:tcBorders>
              <w:top w:val="single" w:sz="4" w:space="0" w:color="auto"/>
              <w:left w:val="nil"/>
              <w:bottom w:val="single" w:sz="4" w:space="0" w:color="auto"/>
              <w:right w:val="nil"/>
            </w:tcBorders>
            <w:shd w:val="clear" w:color="000000" w:fill="FFFFFF"/>
            <w:vAlign w:val="center"/>
            <w:hideMark/>
          </w:tcPr>
          <w:p w14:paraId="12C90215"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w:t>
            </w:r>
          </w:p>
        </w:tc>
        <w:tc>
          <w:tcPr>
            <w:tcW w:w="1461" w:type="dxa"/>
            <w:tcBorders>
              <w:top w:val="single" w:sz="4" w:space="0" w:color="auto"/>
              <w:left w:val="single" w:sz="8" w:space="0" w:color="auto"/>
              <w:bottom w:val="single" w:sz="4" w:space="0" w:color="auto"/>
              <w:right w:val="single" w:sz="8" w:space="0" w:color="auto"/>
            </w:tcBorders>
            <w:shd w:val="clear" w:color="000000" w:fill="F2F2F2"/>
            <w:vAlign w:val="center"/>
            <w:hideMark/>
          </w:tcPr>
          <w:p w14:paraId="44618851"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150,000</w:t>
            </w:r>
          </w:p>
        </w:tc>
      </w:tr>
      <w:tr w:rsidR="00730FC7" w:rsidRPr="00290321" w14:paraId="7121B551" w14:textId="77777777" w:rsidTr="003061AB">
        <w:trPr>
          <w:trHeight w:val="499"/>
        </w:trPr>
        <w:tc>
          <w:tcPr>
            <w:tcW w:w="7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56BD1"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lastRenderedPageBreak/>
              <w:t>2019</w:t>
            </w:r>
          </w:p>
        </w:tc>
        <w:tc>
          <w:tcPr>
            <w:tcW w:w="11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61602"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50,000</w:t>
            </w:r>
          </w:p>
        </w:tc>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6FF79"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3C05D"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 </w:t>
            </w:r>
          </w:p>
        </w:tc>
        <w:tc>
          <w:tcPr>
            <w:tcW w:w="1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78FEB"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 </w:t>
            </w:r>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905EF"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200,000</w:t>
            </w:r>
          </w:p>
        </w:tc>
        <w:tc>
          <w:tcPr>
            <w:tcW w:w="16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57A51"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 </w:t>
            </w:r>
          </w:p>
        </w:tc>
        <w:tc>
          <w:tcPr>
            <w:tcW w:w="146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D423CC1"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250,000</w:t>
            </w:r>
          </w:p>
        </w:tc>
      </w:tr>
      <w:tr w:rsidR="00730FC7" w:rsidRPr="00290321" w14:paraId="6A67FBA2" w14:textId="77777777" w:rsidTr="00730FC7">
        <w:trPr>
          <w:trHeight w:val="499"/>
        </w:trPr>
        <w:tc>
          <w:tcPr>
            <w:tcW w:w="764" w:type="dxa"/>
            <w:tcBorders>
              <w:top w:val="nil"/>
              <w:left w:val="single" w:sz="4" w:space="0" w:color="auto"/>
              <w:bottom w:val="nil"/>
              <w:right w:val="single" w:sz="4" w:space="0" w:color="auto"/>
            </w:tcBorders>
            <w:shd w:val="clear" w:color="000000" w:fill="FFFFFF"/>
            <w:vAlign w:val="center"/>
            <w:hideMark/>
          </w:tcPr>
          <w:p w14:paraId="3535D259"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2020</w:t>
            </w:r>
          </w:p>
        </w:tc>
        <w:tc>
          <w:tcPr>
            <w:tcW w:w="1174" w:type="dxa"/>
            <w:tcBorders>
              <w:top w:val="nil"/>
              <w:left w:val="nil"/>
              <w:bottom w:val="nil"/>
              <w:right w:val="single" w:sz="4" w:space="0" w:color="auto"/>
            </w:tcBorders>
            <w:shd w:val="clear" w:color="000000" w:fill="FFFFFF"/>
            <w:vAlign w:val="center"/>
            <w:hideMark/>
          </w:tcPr>
          <w:p w14:paraId="6CD365CA"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44,985</w:t>
            </w:r>
          </w:p>
        </w:tc>
        <w:tc>
          <w:tcPr>
            <w:tcW w:w="1010" w:type="dxa"/>
            <w:tcBorders>
              <w:top w:val="nil"/>
              <w:left w:val="nil"/>
              <w:bottom w:val="nil"/>
              <w:right w:val="single" w:sz="4" w:space="0" w:color="auto"/>
            </w:tcBorders>
            <w:shd w:val="clear" w:color="000000" w:fill="FFFFFF"/>
            <w:vAlign w:val="center"/>
            <w:hideMark/>
          </w:tcPr>
          <w:p w14:paraId="04F4DED6"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 </w:t>
            </w:r>
          </w:p>
        </w:tc>
        <w:tc>
          <w:tcPr>
            <w:tcW w:w="1165" w:type="dxa"/>
            <w:tcBorders>
              <w:top w:val="nil"/>
              <w:left w:val="nil"/>
              <w:bottom w:val="nil"/>
              <w:right w:val="single" w:sz="4" w:space="0" w:color="auto"/>
            </w:tcBorders>
            <w:shd w:val="clear" w:color="000000" w:fill="FFFFFF"/>
            <w:vAlign w:val="center"/>
            <w:hideMark/>
          </w:tcPr>
          <w:p w14:paraId="4115734F"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 </w:t>
            </w:r>
          </w:p>
        </w:tc>
        <w:tc>
          <w:tcPr>
            <w:tcW w:w="1130" w:type="dxa"/>
            <w:tcBorders>
              <w:top w:val="nil"/>
              <w:left w:val="nil"/>
              <w:bottom w:val="nil"/>
              <w:right w:val="single" w:sz="4" w:space="0" w:color="auto"/>
            </w:tcBorders>
            <w:shd w:val="clear" w:color="000000" w:fill="FFFFFF"/>
            <w:vAlign w:val="center"/>
            <w:hideMark/>
          </w:tcPr>
          <w:p w14:paraId="6EF5870C"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 </w:t>
            </w:r>
          </w:p>
        </w:tc>
        <w:tc>
          <w:tcPr>
            <w:tcW w:w="1198" w:type="dxa"/>
            <w:tcBorders>
              <w:top w:val="nil"/>
              <w:left w:val="nil"/>
              <w:bottom w:val="nil"/>
              <w:right w:val="single" w:sz="4" w:space="0" w:color="auto"/>
            </w:tcBorders>
            <w:shd w:val="clear" w:color="000000" w:fill="FFFFFF"/>
            <w:vAlign w:val="center"/>
            <w:hideMark/>
          </w:tcPr>
          <w:p w14:paraId="5C4AC008"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245,727</w:t>
            </w:r>
          </w:p>
        </w:tc>
        <w:tc>
          <w:tcPr>
            <w:tcW w:w="1602" w:type="dxa"/>
            <w:tcBorders>
              <w:top w:val="nil"/>
              <w:left w:val="nil"/>
              <w:bottom w:val="nil"/>
              <w:right w:val="nil"/>
            </w:tcBorders>
            <w:shd w:val="clear" w:color="000000" w:fill="FFFFFF"/>
            <w:vAlign w:val="center"/>
            <w:hideMark/>
          </w:tcPr>
          <w:p w14:paraId="3AB5E9AB"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377,081**</w:t>
            </w:r>
          </w:p>
        </w:tc>
        <w:tc>
          <w:tcPr>
            <w:tcW w:w="1461" w:type="dxa"/>
            <w:tcBorders>
              <w:top w:val="nil"/>
              <w:left w:val="single" w:sz="8" w:space="0" w:color="auto"/>
              <w:bottom w:val="nil"/>
              <w:right w:val="single" w:sz="8" w:space="0" w:color="auto"/>
            </w:tcBorders>
            <w:shd w:val="clear" w:color="000000" w:fill="F2F2F2"/>
            <w:vAlign w:val="center"/>
            <w:hideMark/>
          </w:tcPr>
          <w:p w14:paraId="6FD21B23" w14:textId="77777777" w:rsidR="00730FC7" w:rsidRPr="00290321" w:rsidRDefault="00730FC7" w:rsidP="00661B46">
            <w:pPr>
              <w:spacing w:after="0" w:line="240" w:lineRule="auto"/>
              <w:jc w:val="right"/>
              <w:rPr>
                <w:rFonts w:ascii="Calibri" w:eastAsia="Times New Roman" w:hAnsi="Calibri" w:cs="Calibri"/>
                <w:color w:val="000000"/>
              </w:rPr>
            </w:pPr>
            <w:r w:rsidRPr="00290321">
              <w:rPr>
                <w:rFonts w:ascii="Calibri" w:eastAsia="Times New Roman" w:hAnsi="Calibri" w:cs="Calibri"/>
                <w:color w:val="000000"/>
              </w:rPr>
              <w:t>667,793</w:t>
            </w:r>
          </w:p>
        </w:tc>
      </w:tr>
      <w:tr w:rsidR="00730FC7" w:rsidRPr="00290321" w14:paraId="0EF47E01" w14:textId="77777777" w:rsidTr="00730FC7">
        <w:trPr>
          <w:trHeight w:val="499"/>
        </w:trPr>
        <w:tc>
          <w:tcPr>
            <w:tcW w:w="764"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322D61AD" w14:textId="77777777" w:rsidR="00730FC7" w:rsidRPr="00290321" w:rsidRDefault="00730FC7" w:rsidP="00661B46">
            <w:pPr>
              <w:spacing w:after="0" w:line="240" w:lineRule="auto"/>
              <w:jc w:val="center"/>
              <w:rPr>
                <w:rFonts w:ascii="Calibri" w:eastAsia="Times New Roman" w:hAnsi="Calibri" w:cs="Calibri"/>
                <w:b/>
                <w:bCs/>
                <w:color w:val="000000"/>
              </w:rPr>
            </w:pPr>
            <w:r w:rsidRPr="00290321">
              <w:rPr>
                <w:rFonts w:ascii="Calibri" w:eastAsia="Times New Roman" w:hAnsi="Calibri" w:cs="Calibri"/>
                <w:b/>
                <w:bCs/>
                <w:color w:val="000000"/>
              </w:rPr>
              <w:t>Total</w:t>
            </w:r>
          </w:p>
        </w:tc>
        <w:tc>
          <w:tcPr>
            <w:tcW w:w="1174" w:type="dxa"/>
            <w:tcBorders>
              <w:top w:val="single" w:sz="8" w:space="0" w:color="auto"/>
              <w:left w:val="nil"/>
              <w:bottom w:val="single" w:sz="8" w:space="0" w:color="auto"/>
              <w:right w:val="single" w:sz="4" w:space="0" w:color="auto"/>
            </w:tcBorders>
            <w:shd w:val="clear" w:color="000000" w:fill="F2F2F2"/>
            <w:vAlign w:val="center"/>
            <w:hideMark/>
          </w:tcPr>
          <w:p w14:paraId="1208EBF0" w14:textId="77777777" w:rsidR="00730FC7" w:rsidRPr="00290321" w:rsidRDefault="00730FC7" w:rsidP="00661B46">
            <w:pPr>
              <w:spacing w:after="0" w:line="240" w:lineRule="auto"/>
              <w:jc w:val="right"/>
              <w:rPr>
                <w:rFonts w:ascii="Calibri" w:eastAsia="Times New Roman" w:hAnsi="Calibri" w:cs="Calibri"/>
                <w:b/>
                <w:bCs/>
                <w:color w:val="000000"/>
              </w:rPr>
            </w:pPr>
            <w:r w:rsidRPr="00290321">
              <w:rPr>
                <w:rFonts w:ascii="Calibri" w:eastAsia="Times New Roman" w:hAnsi="Calibri" w:cs="Calibri"/>
                <w:b/>
                <w:bCs/>
                <w:color w:val="000000"/>
              </w:rPr>
              <w:t>844,880</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7B50119A" w14:textId="77777777" w:rsidR="00730FC7" w:rsidRPr="00290321" w:rsidRDefault="00730FC7" w:rsidP="00661B46">
            <w:pPr>
              <w:spacing w:after="0" w:line="240" w:lineRule="auto"/>
              <w:jc w:val="right"/>
              <w:rPr>
                <w:rFonts w:ascii="Calibri" w:eastAsia="Times New Roman" w:hAnsi="Calibri" w:cs="Calibri"/>
                <w:b/>
                <w:bCs/>
                <w:color w:val="000000"/>
              </w:rPr>
            </w:pPr>
            <w:r w:rsidRPr="00290321">
              <w:rPr>
                <w:rFonts w:ascii="Calibri" w:eastAsia="Times New Roman" w:hAnsi="Calibri" w:cs="Calibri"/>
                <w:b/>
                <w:bCs/>
                <w:color w:val="000000"/>
              </w:rPr>
              <w:t>-</w:t>
            </w:r>
          </w:p>
        </w:tc>
        <w:tc>
          <w:tcPr>
            <w:tcW w:w="1165" w:type="dxa"/>
            <w:tcBorders>
              <w:top w:val="single" w:sz="8" w:space="0" w:color="auto"/>
              <w:left w:val="nil"/>
              <w:bottom w:val="single" w:sz="8" w:space="0" w:color="auto"/>
              <w:right w:val="single" w:sz="4" w:space="0" w:color="auto"/>
            </w:tcBorders>
            <w:shd w:val="clear" w:color="000000" w:fill="F2F2F2"/>
            <w:vAlign w:val="center"/>
            <w:hideMark/>
          </w:tcPr>
          <w:p w14:paraId="49C042B9" w14:textId="77777777" w:rsidR="00730FC7" w:rsidRPr="00290321" w:rsidRDefault="00730FC7" w:rsidP="00661B46">
            <w:pPr>
              <w:spacing w:after="0" w:line="240" w:lineRule="auto"/>
              <w:jc w:val="right"/>
              <w:rPr>
                <w:rFonts w:ascii="Calibri" w:eastAsia="Times New Roman" w:hAnsi="Calibri" w:cs="Calibri"/>
                <w:b/>
                <w:bCs/>
                <w:color w:val="000000"/>
              </w:rPr>
            </w:pPr>
            <w:r w:rsidRPr="00290321">
              <w:rPr>
                <w:rFonts w:ascii="Calibri" w:eastAsia="Times New Roman" w:hAnsi="Calibri" w:cs="Calibri"/>
                <w:b/>
                <w:bCs/>
                <w:color w:val="000000"/>
              </w:rPr>
              <w:t>229,600</w:t>
            </w:r>
          </w:p>
        </w:tc>
        <w:tc>
          <w:tcPr>
            <w:tcW w:w="1130" w:type="dxa"/>
            <w:tcBorders>
              <w:top w:val="single" w:sz="8" w:space="0" w:color="auto"/>
              <w:left w:val="nil"/>
              <w:bottom w:val="single" w:sz="8" w:space="0" w:color="auto"/>
              <w:right w:val="single" w:sz="4" w:space="0" w:color="auto"/>
            </w:tcBorders>
            <w:shd w:val="clear" w:color="000000" w:fill="F2F2F2"/>
            <w:vAlign w:val="center"/>
            <w:hideMark/>
          </w:tcPr>
          <w:p w14:paraId="6FCC7DC2" w14:textId="77777777" w:rsidR="00730FC7" w:rsidRPr="00290321" w:rsidRDefault="00730FC7" w:rsidP="00661B46">
            <w:pPr>
              <w:spacing w:after="0" w:line="240" w:lineRule="auto"/>
              <w:jc w:val="right"/>
              <w:rPr>
                <w:rFonts w:ascii="Calibri" w:eastAsia="Times New Roman" w:hAnsi="Calibri" w:cs="Calibri"/>
                <w:b/>
                <w:bCs/>
                <w:color w:val="000000"/>
              </w:rPr>
            </w:pPr>
            <w:r w:rsidRPr="00290321">
              <w:rPr>
                <w:rFonts w:ascii="Calibri" w:eastAsia="Times New Roman" w:hAnsi="Calibri" w:cs="Calibri"/>
                <w:b/>
                <w:bCs/>
                <w:color w:val="000000"/>
              </w:rPr>
              <w:t>-</w:t>
            </w:r>
          </w:p>
        </w:tc>
        <w:tc>
          <w:tcPr>
            <w:tcW w:w="1198" w:type="dxa"/>
            <w:tcBorders>
              <w:top w:val="single" w:sz="8" w:space="0" w:color="auto"/>
              <w:left w:val="nil"/>
              <w:bottom w:val="single" w:sz="8" w:space="0" w:color="auto"/>
              <w:right w:val="single" w:sz="4" w:space="0" w:color="auto"/>
            </w:tcBorders>
            <w:shd w:val="clear" w:color="000000" w:fill="F2F2F2"/>
            <w:vAlign w:val="center"/>
            <w:hideMark/>
          </w:tcPr>
          <w:p w14:paraId="1301716B" w14:textId="77777777" w:rsidR="00730FC7" w:rsidRPr="00290321" w:rsidRDefault="00730FC7" w:rsidP="00661B46">
            <w:pPr>
              <w:spacing w:after="0" w:line="240" w:lineRule="auto"/>
              <w:jc w:val="right"/>
              <w:rPr>
                <w:rFonts w:ascii="Calibri" w:eastAsia="Times New Roman" w:hAnsi="Calibri" w:cs="Calibri"/>
                <w:b/>
                <w:bCs/>
                <w:color w:val="000000"/>
              </w:rPr>
            </w:pPr>
            <w:r w:rsidRPr="00290321">
              <w:rPr>
                <w:rFonts w:ascii="Calibri" w:eastAsia="Times New Roman" w:hAnsi="Calibri" w:cs="Calibri"/>
                <w:b/>
                <w:bCs/>
                <w:color w:val="000000"/>
              </w:rPr>
              <w:t>1,945,727</w:t>
            </w:r>
          </w:p>
        </w:tc>
        <w:tc>
          <w:tcPr>
            <w:tcW w:w="1602" w:type="dxa"/>
            <w:tcBorders>
              <w:top w:val="single" w:sz="8" w:space="0" w:color="auto"/>
              <w:left w:val="nil"/>
              <w:bottom w:val="single" w:sz="8" w:space="0" w:color="auto"/>
              <w:right w:val="nil"/>
            </w:tcBorders>
            <w:shd w:val="clear" w:color="000000" w:fill="F2F2F2"/>
            <w:vAlign w:val="center"/>
            <w:hideMark/>
          </w:tcPr>
          <w:p w14:paraId="3968C5C0" w14:textId="4C9F8AD3" w:rsidR="00730FC7" w:rsidRPr="00290321" w:rsidRDefault="00730FC7" w:rsidP="00661B46">
            <w:pPr>
              <w:spacing w:after="0" w:line="240" w:lineRule="auto"/>
              <w:jc w:val="right"/>
              <w:rPr>
                <w:rFonts w:ascii="Calibri" w:eastAsia="Times New Roman" w:hAnsi="Calibri" w:cs="Calibri"/>
                <w:b/>
                <w:bCs/>
                <w:color w:val="000000"/>
              </w:rPr>
            </w:pPr>
            <w:r w:rsidRPr="00290321">
              <w:rPr>
                <w:rFonts w:ascii="Calibri" w:eastAsia="Times New Roman" w:hAnsi="Calibri" w:cs="Calibri"/>
                <w:b/>
                <w:bCs/>
                <w:color w:val="000000"/>
              </w:rPr>
              <w:t xml:space="preserve">      8</w:t>
            </w:r>
            <w:r w:rsidR="000A76DA">
              <w:rPr>
                <w:rFonts w:ascii="Calibri" w:eastAsia="Times New Roman" w:hAnsi="Calibri" w:cs="Calibri"/>
                <w:b/>
                <w:bCs/>
                <w:color w:val="000000"/>
              </w:rPr>
              <w:t>7</w:t>
            </w:r>
            <w:r w:rsidRPr="00290321">
              <w:rPr>
                <w:rFonts w:ascii="Calibri" w:eastAsia="Times New Roman" w:hAnsi="Calibri" w:cs="Calibri"/>
                <w:b/>
                <w:bCs/>
                <w:color w:val="000000"/>
              </w:rPr>
              <w:t xml:space="preserve">7,081 </w:t>
            </w:r>
          </w:p>
        </w:tc>
        <w:tc>
          <w:tcPr>
            <w:tcW w:w="1461"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3773337" w14:textId="7E226F96" w:rsidR="00730FC7" w:rsidRPr="00290321" w:rsidRDefault="00730FC7" w:rsidP="00661B46">
            <w:pPr>
              <w:spacing w:after="0" w:line="240" w:lineRule="auto"/>
              <w:jc w:val="right"/>
              <w:rPr>
                <w:rFonts w:ascii="Calibri" w:eastAsia="Times New Roman" w:hAnsi="Calibri" w:cs="Calibri"/>
                <w:b/>
                <w:bCs/>
                <w:color w:val="000000"/>
              </w:rPr>
            </w:pPr>
            <w:r w:rsidRPr="00290321">
              <w:rPr>
                <w:rFonts w:ascii="Calibri" w:eastAsia="Times New Roman" w:hAnsi="Calibri" w:cs="Calibri"/>
                <w:b/>
                <w:bCs/>
                <w:color w:val="000000"/>
              </w:rPr>
              <w:t>3,8</w:t>
            </w:r>
            <w:r w:rsidR="000A76DA">
              <w:rPr>
                <w:rFonts w:ascii="Calibri" w:eastAsia="Times New Roman" w:hAnsi="Calibri" w:cs="Calibri"/>
                <w:b/>
                <w:bCs/>
                <w:color w:val="000000"/>
              </w:rPr>
              <w:t>9</w:t>
            </w:r>
            <w:r w:rsidRPr="00290321">
              <w:rPr>
                <w:rFonts w:ascii="Calibri" w:eastAsia="Times New Roman" w:hAnsi="Calibri" w:cs="Calibri"/>
                <w:b/>
                <w:bCs/>
                <w:color w:val="000000"/>
              </w:rPr>
              <w:t>7,288</w:t>
            </w:r>
          </w:p>
        </w:tc>
      </w:tr>
    </w:tbl>
    <w:p w14:paraId="45A5C178" w14:textId="77777777" w:rsidR="00730FC7" w:rsidRPr="00422295" w:rsidRDefault="00730FC7" w:rsidP="00730FC7">
      <w:pPr>
        <w:snapToGrid w:val="0"/>
        <w:spacing w:after="0" w:line="276" w:lineRule="auto"/>
        <w:jc w:val="both"/>
        <w:rPr>
          <w:color w:val="000000" w:themeColor="text1"/>
          <w:sz w:val="20"/>
          <w:szCs w:val="20"/>
        </w:rPr>
      </w:pPr>
      <w:r w:rsidRPr="000F6675">
        <w:rPr>
          <w:color w:val="000000" w:themeColor="text1"/>
          <w:sz w:val="18"/>
          <w:szCs w:val="18"/>
        </w:rPr>
        <w:t>*</w:t>
      </w:r>
      <w:r w:rsidRPr="00422295">
        <w:rPr>
          <w:color w:val="000000" w:themeColor="text1"/>
          <w:sz w:val="20"/>
          <w:szCs w:val="20"/>
        </w:rPr>
        <w:t>Note:</w:t>
      </w:r>
      <w:r w:rsidRPr="00422295">
        <w:rPr>
          <w:sz w:val="20"/>
          <w:szCs w:val="20"/>
        </w:rPr>
        <w:t xml:space="preserve"> </w:t>
      </w:r>
      <w:r w:rsidRPr="00422295">
        <w:rPr>
          <w:color w:val="000000" w:themeColor="text1"/>
          <w:sz w:val="20"/>
          <w:szCs w:val="20"/>
        </w:rPr>
        <w:t xml:space="preserve">The Russian Federation contributed US$210,000, over the period from 2010 to 2012 for the projects on nature conservation and transboundary air pollution. After completing the projects, the residue balance of US$61,104 was returned to the Russian Federation.  </w:t>
      </w:r>
    </w:p>
    <w:p w14:paraId="4F4C3CC8" w14:textId="1F93C929" w:rsidR="000F6675" w:rsidRPr="00E053D6" w:rsidRDefault="00730FC7" w:rsidP="00E053D6">
      <w:pPr>
        <w:snapToGrid w:val="0"/>
        <w:spacing w:after="120" w:line="276" w:lineRule="auto"/>
        <w:jc w:val="both"/>
        <w:rPr>
          <w:color w:val="000000" w:themeColor="text1"/>
          <w:sz w:val="20"/>
          <w:szCs w:val="20"/>
        </w:rPr>
      </w:pPr>
      <w:r w:rsidRPr="00422295">
        <w:rPr>
          <w:color w:val="000000" w:themeColor="text1"/>
          <w:sz w:val="20"/>
          <w:szCs w:val="20"/>
        </w:rPr>
        <w:t xml:space="preserve">** Note: a 33-month project fund </w:t>
      </w:r>
      <w:r w:rsidR="00E053D6">
        <w:rPr>
          <w:color w:val="000000" w:themeColor="text1"/>
          <w:sz w:val="20"/>
          <w:szCs w:val="20"/>
        </w:rPr>
        <w:t>on nature conservation</w:t>
      </w:r>
      <w:r w:rsidRPr="00422295">
        <w:rPr>
          <w:color w:val="000000" w:themeColor="text1"/>
          <w:sz w:val="20"/>
          <w:szCs w:val="20"/>
        </w:rPr>
        <w:t xml:space="preserve"> from Jan</w:t>
      </w:r>
      <w:r w:rsidR="00E053D6">
        <w:rPr>
          <w:color w:val="000000" w:themeColor="text1"/>
          <w:sz w:val="20"/>
          <w:szCs w:val="20"/>
        </w:rPr>
        <w:t>uary</w:t>
      </w:r>
      <w:r w:rsidRPr="00422295">
        <w:rPr>
          <w:color w:val="000000" w:themeColor="text1"/>
          <w:sz w:val="20"/>
          <w:szCs w:val="20"/>
        </w:rPr>
        <w:t xml:space="preserve"> 2020 to Sep</w:t>
      </w:r>
      <w:r w:rsidR="00E053D6">
        <w:rPr>
          <w:color w:val="000000" w:themeColor="text1"/>
          <w:sz w:val="20"/>
          <w:szCs w:val="20"/>
        </w:rPr>
        <w:t>tember</w:t>
      </w:r>
      <w:r w:rsidRPr="00422295">
        <w:rPr>
          <w:color w:val="000000" w:themeColor="text1"/>
          <w:sz w:val="20"/>
          <w:szCs w:val="20"/>
        </w:rPr>
        <w:t xml:space="preserve"> 2022.</w:t>
      </w:r>
    </w:p>
    <w:p w14:paraId="3BE4EE7A" w14:textId="2E747D77" w:rsidR="0080634A" w:rsidRPr="003061AB" w:rsidRDefault="00ED4F12" w:rsidP="003061AB">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sidRPr="007A42A6">
        <w:rPr>
          <w:rFonts w:ascii="Book Antiqua" w:hAnsi="Book Antiqua"/>
          <w:color w:val="000000" w:themeColor="text1"/>
        </w:rPr>
        <w:t xml:space="preserve">SOM-12 in 2007 revisited the </w:t>
      </w:r>
      <w:r w:rsidR="003055D9" w:rsidRPr="007A42A6">
        <w:rPr>
          <w:rFonts w:ascii="Book Antiqua" w:hAnsi="Book Antiqua"/>
          <w:color w:val="000000" w:themeColor="text1"/>
        </w:rPr>
        <w:t xml:space="preserve">funding modality and reviewed the </w:t>
      </w:r>
      <w:r w:rsidR="00C9344D" w:rsidRPr="007A42A6">
        <w:rPr>
          <w:rFonts w:ascii="Book Antiqua" w:hAnsi="Book Antiqua"/>
          <w:color w:val="000000" w:themeColor="text1"/>
        </w:rPr>
        <w:t xml:space="preserve">need for creating “Trust Fund” </w:t>
      </w:r>
      <w:r w:rsidR="003055D9" w:rsidRPr="007A42A6">
        <w:rPr>
          <w:rFonts w:ascii="Book Antiqua" w:hAnsi="Book Antiqua"/>
          <w:color w:val="000000" w:themeColor="text1"/>
        </w:rPr>
        <w:t xml:space="preserve">including </w:t>
      </w:r>
      <w:r w:rsidR="00C9344D" w:rsidRPr="007A42A6">
        <w:rPr>
          <w:rFonts w:ascii="Book Antiqua" w:hAnsi="Book Antiqua"/>
          <w:color w:val="000000" w:themeColor="text1"/>
        </w:rPr>
        <w:t xml:space="preserve">options of country contributions based on UN </w:t>
      </w:r>
      <w:r w:rsidR="00C6459E">
        <w:rPr>
          <w:rFonts w:ascii="Book Antiqua" w:hAnsi="Book Antiqua"/>
          <w:color w:val="000000" w:themeColor="text1"/>
        </w:rPr>
        <w:t>S</w:t>
      </w:r>
      <w:r w:rsidR="00C9344D" w:rsidRPr="007A42A6">
        <w:rPr>
          <w:rFonts w:ascii="Book Antiqua" w:hAnsi="Book Antiqua"/>
          <w:color w:val="000000" w:themeColor="text1"/>
        </w:rPr>
        <w:t xml:space="preserve">cale of </w:t>
      </w:r>
      <w:r w:rsidR="00C6459E">
        <w:rPr>
          <w:rFonts w:ascii="Book Antiqua" w:hAnsi="Book Antiqua"/>
          <w:color w:val="000000" w:themeColor="text1"/>
        </w:rPr>
        <w:t>A</w:t>
      </w:r>
      <w:r w:rsidR="00C9344D" w:rsidRPr="007A42A6">
        <w:rPr>
          <w:rFonts w:ascii="Book Antiqua" w:hAnsi="Book Antiqua"/>
          <w:color w:val="000000" w:themeColor="text1"/>
        </w:rPr>
        <w:t xml:space="preserve">ssessment, a combination of equal shares for a fixed percentage and UN </w:t>
      </w:r>
      <w:r w:rsidR="00C6459E">
        <w:rPr>
          <w:rFonts w:ascii="Book Antiqua" w:hAnsi="Book Antiqua"/>
          <w:color w:val="000000" w:themeColor="text1"/>
        </w:rPr>
        <w:t>S</w:t>
      </w:r>
      <w:r w:rsidR="00C9344D" w:rsidRPr="007A42A6">
        <w:rPr>
          <w:rFonts w:ascii="Book Antiqua" w:hAnsi="Book Antiqua"/>
          <w:color w:val="000000" w:themeColor="text1"/>
        </w:rPr>
        <w:t xml:space="preserve">cale of </w:t>
      </w:r>
      <w:r w:rsidR="00C6459E">
        <w:rPr>
          <w:rFonts w:ascii="Book Antiqua" w:hAnsi="Book Antiqua"/>
          <w:color w:val="000000" w:themeColor="text1"/>
        </w:rPr>
        <w:t>A</w:t>
      </w:r>
      <w:r w:rsidR="00C9344D" w:rsidRPr="007A42A6">
        <w:rPr>
          <w:rFonts w:ascii="Book Antiqua" w:hAnsi="Book Antiqua"/>
          <w:color w:val="000000" w:themeColor="text1"/>
        </w:rPr>
        <w:t xml:space="preserve">ssessment, </w:t>
      </w:r>
      <w:r w:rsidR="00D4581E">
        <w:rPr>
          <w:rFonts w:ascii="Book Antiqua" w:hAnsi="Book Antiqua"/>
          <w:color w:val="000000" w:themeColor="text1"/>
        </w:rPr>
        <w:t xml:space="preserve">and </w:t>
      </w:r>
      <w:r w:rsidR="00C9344D" w:rsidRPr="007A42A6">
        <w:rPr>
          <w:rFonts w:ascii="Book Antiqua" w:hAnsi="Book Antiqua"/>
          <w:color w:val="000000" w:themeColor="text1"/>
        </w:rPr>
        <w:t>voluntary basis in terms of scale.</w:t>
      </w:r>
      <w:r w:rsidR="00C9344D">
        <w:rPr>
          <w:rStyle w:val="FootnoteReference"/>
          <w:rFonts w:ascii="Book Antiqua" w:hAnsi="Book Antiqua"/>
          <w:color w:val="000000" w:themeColor="text1"/>
        </w:rPr>
        <w:footnoteReference w:id="10"/>
      </w:r>
      <w:r w:rsidR="00C9344D" w:rsidRPr="007A42A6">
        <w:rPr>
          <w:rFonts w:ascii="Book Antiqua" w:hAnsi="Book Antiqua"/>
          <w:color w:val="000000" w:themeColor="text1"/>
        </w:rPr>
        <w:t xml:space="preserve"> </w:t>
      </w:r>
      <w:r w:rsidR="007E1089" w:rsidRPr="003061AB">
        <w:rPr>
          <w:rFonts w:ascii="Book Antiqua" w:hAnsi="Book Antiqua"/>
          <w:color w:val="000000" w:themeColor="text1"/>
        </w:rPr>
        <w:t xml:space="preserve">SOM-17 in 2012 </w:t>
      </w:r>
      <w:r w:rsidR="00EB0170" w:rsidRPr="003061AB">
        <w:rPr>
          <w:rFonts w:ascii="Book Antiqua" w:hAnsi="Book Antiqua"/>
          <w:color w:val="000000" w:themeColor="text1"/>
        </w:rPr>
        <w:t xml:space="preserve">again reviewed </w:t>
      </w:r>
      <w:r w:rsidR="00A718E0" w:rsidRPr="003061AB">
        <w:rPr>
          <w:rFonts w:ascii="Book Antiqua" w:hAnsi="Book Antiqua"/>
          <w:color w:val="000000" w:themeColor="text1"/>
        </w:rPr>
        <w:t xml:space="preserve">a recommendation from an analytical study </w:t>
      </w:r>
      <w:r w:rsidR="00FA4664" w:rsidRPr="003061AB">
        <w:rPr>
          <w:rFonts w:ascii="Book Antiqua" w:hAnsi="Book Antiqua"/>
          <w:color w:val="000000" w:themeColor="text1"/>
        </w:rPr>
        <w:t>on</w:t>
      </w:r>
      <w:r w:rsidR="00311534" w:rsidRPr="003061AB">
        <w:rPr>
          <w:rFonts w:ascii="Book Antiqua" w:hAnsi="Book Antiqua"/>
          <w:color w:val="000000" w:themeColor="text1"/>
        </w:rPr>
        <w:t xml:space="preserve"> NEASPEC, proposing member States to consider strengthening the financial mechanisms by</w:t>
      </w:r>
      <w:r w:rsidR="00C03678" w:rsidRPr="003061AB">
        <w:rPr>
          <w:rFonts w:ascii="Book Antiqua" w:hAnsi="Book Antiqua"/>
          <w:color w:val="000000" w:themeColor="text1"/>
        </w:rPr>
        <w:t xml:space="preserve"> </w:t>
      </w:r>
      <w:r w:rsidR="00311534" w:rsidRPr="003061AB">
        <w:rPr>
          <w:rFonts w:ascii="Book Antiqua" w:hAnsi="Book Antiqua"/>
          <w:color w:val="000000" w:themeColor="text1"/>
        </w:rPr>
        <w:t>moving away from the present voluntary contributions to a more stable and</w:t>
      </w:r>
      <w:r w:rsidR="00C03678" w:rsidRPr="003061AB">
        <w:rPr>
          <w:rFonts w:ascii="Book Antiqua" w:hAnsi="Book Antiqua"/>
          <w:color w:val="000000" w:themeColor="text1"/>
        </w:rPr>
        <w:t xml:space="preserve"> </w:t>
      </w:r>
      <w:r w:rsidR="00311534" w:rsidRPr="003061AB">
        <w:rPr>
          <w:rFonts w:ascii="Book Antiqua" w:hAnsi="Book Antiqua"/>
          <w:color w:val="000000" w:themeColor="text1"/>
        </w:rPr>
        <w:t>regular mechanism in financing</w:t>
      </w:r>
      <w:r w:rsidR="00C03678" w:rsidRPr="003061AB">
        <w:rPr>
          <w:rFonts w:ascii="Book Antiqua" w:hAnsi="Book Antiqua"/>
          <w:color w:val="000000" w:themeColor="text1"/>
        </w:rPr>
        <w:t xml:space="preserve">. </w:t>
      </w:r>
      <w:r w:rsidR="00755E34" w:rsidRPr="003061AB">
        <w:rPr>
          <w:rFonts w:ascii="Book Antiqua" w:hAnsi="Book Antiqua"/>
          <w:color w:val="000000" w:themeColor="text1"/>
        </w:rPr>
        <w:t>Furthermore, t</w:t>
      </w:r>
      <w:r w:rsidR="00C9344D" w:rsidRPr="003061AB">
        <w:rPr>
          <w:rFonts w:ascii="Book Antiqua" w:hAnsi="Book Antiqua"/>
          <w:color w:val="000000" w:themeColor="text1"/>
        </w:rPr>
        <w:t xml:space="preserve">he most recent independent evaluation of NEASPEC recommends </w:t>
      </w:r>
      <w:r w:rsidR="00755E34" w:rsidRPr="003061AB">
        <w:rPr>
          <w:rFonts w:ascii="Book Antiqua" w:hAnsi="Book Antiqua"/>
          <w:color w:val="000000" w:themeColor="text1"/>
        </w:rPr>
        <w:t>revising the current funding modality to ensure more reliable</w:t>
      </w:r>
      <w:r w:rsidR="00661B46" w:rsidRPr="003061AB">
        <w:rPr>
          <w:rFonts w:ascii="Book Antiqua" w:hAnsi="Book Antiqua"/>
          <w:color w:val="000000" w:themeColor="text1"/>
        </w:rPr>
        <w:t xml:space="preserve"> and </w:t>
      </w:r>
      <w:r w:rsidR="00755E34" w:rsidRPr="003061AB">
        <w:rPr>
          <w:rFonts w:ascii="Book Antiqua" w:hAnsi="Book Antiqua"/>
          <w:color w:val="000000" w:themeColor="text1"/>
        </w:rPr>
        <w:t xml:space="preserve"> </w:t>
      </w:r>
      <w:r w:rsidR="00C6459E" w:rsidRPr="003061AB">
        <w:rPr>
          <w:rFonts w:ascii="Book Antiqua" w:hAnsi="Book Antiqua"/>
          <w:color w:val="000000" w:themeColor="text1"/>
        </w:rPr>
        <w:t>predictable</w:t>
      </w:r>
      <w:r w:rsidR="00661B46" w:rsidRPr="003061AB">
        <w:rPr>
          <w:rFonts w:ascii="Book Antiqua" w:hAnsi="Book Antiqua"/>
          <w:color w:val="000000" w:themeColor="text1"/>
        </w:rPr>
        <w:t xml:space="preserve"> flow of funding</w:t>
      </w:r>
      <w:r w:rsidR="00C6459E" w:rsidRPr="003061AB">
        <w:rPr>
          <w:rFonts w:ascii="Book Antiqua" w:hAnsi="Book Antiqua"/>
          <w:color w:val="000000" w:themeColor="text1"/>
        </w:rPr>
        <w:t>,</w:t>
      </w:r>
      <w:r w:rsidR="00755E34" w:rsidRPr="003061AB">
        <w:rPr>
          <w:rFonts w:ascii="Book Antiqua" w:hAnsi="Book Antiqua"/>
          <w:color w:val="000000" w:themeColor="text1"/>
        </w:rPr>
        <w:t xml:space="preserve"> and equitable</w:t>
      </w:r>
      <w:r w:rsidR="00661B46" w:rsidRPr="003061AB">
        <w:rPr>
          <w:rFonts w:ascii="Book Antiqua" w:hAnsi="Book Antiqua"/>
          <w:color w:val="000000" w:themeColor="text1"/>
        </w:rPr>
        <w:t xml:space="preserve"> contributions</w:t>
      </w:r>
      <w:r w:rsidR="00755E34" w:rsidRPr="003061AB">
        <w:rPr>
          <w:rFonts w:ascii="Book Antiqua" w:hAnsi="Book Antiqua"/>
          <w:color w:val="000000" w:themeColor="text1"/>
        </w:rPr>
        <w:t xml:space="preserve">. </w:t>
      </w:r>
    </w:p>
    <w:p w14:paraId="627A572A" w14:textId="0D2D728E" w:rsidR="00F20790" w:rsidRDefault="00F20790" w:rsidP="00F20790">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sidRPr="005C6B31">
        <w:rPr>
          <w:rFonts w:ascii="Book Antiqua" w:hAnsi="Book Antiqua"/>
          <w:color w:val="000000" w:themeColor="text1"/>
        </w:rPr>
        <w:t xml:space="preserve">NEASPEC Strategic Plan </w:t>
      </w:r>
      <w:r>
        <w:rPr>
          <w:rFonts w:ascii="Book Antiqua" w:hAnsi="Book Antiqua"/>
          <w:color w:val="000000" w:themeColor="text1"/>
        </w:rPr>
        <w:t xml:space="preserve">2016-2020 and 2021-2025 adopted by SOM-20 and SOM-24, respectively, also call on member States </w:t>
      </w:r>
      <w:r w:rsidRPr="005C6B31">
        <w:rPr>
          <w:rFonts w:ascii="Book Antiqua" w:hAnsi="Book Antiqua"/>
          <w:color w:val="000000" w:themeColor="text1"/>
        </w:rPr>
        <w:t>to</w:t>
      </w:r>
      <w:r w:rsidR="003061AB">
        <w:rPr>
          <w:rFonts w:ascii="Book Antiqua" w:hAnsi="Book Antiqua"/>
          <w:color w:val="000000" w:themeColor="text1"/>
        </w:rPr>
        <w:t xml:space="preserve">, </w:t>
      </w:r>
      <w:r w:rsidR="003061AB" w:rsidRPr="003061AB">
        <w:rPr>
          <w:rFonts w:ascii="Book Antiqua" w:hAnsi="Book Antiqua"/>
          <w:i/>
          <w:iCs/>
          <w:color w:val="000000" w:themeColor="text1"/>
        </w:rPr>
        <w:t>inter alia</w:t>
      </w:r>
      <w:r w:rsidRPr="005C6B31">
        <w:rPr>
          <w:rFonts w:ascii="Book Antiqua" w:hAnsi="Book Antiqua"/>
          <w:color w:val="000000" w:themeColor="text1"/>
        </w:rPr>
        <w:t xml:space="preserve">: improve financial resources by making more stable and predictable national contributions to the Core Fund; mobilize financial resources and in-kind contributions from </w:t>
      </w:r>
      <w:r>
        <w:rPr>
          <w:rFonts w:ascii="Book Antiqua" w:hAnsi="Book Antiqua"/>
          <w:color w:val="000000" w:themeColor="text1"/>
        </w:rPr>
        <w:t>ministries and partners in member States as well as other stakeholder groups</w:t>
      </w:r>
      <w:r w:rsidR="003061AB">
        <w:rPr>
          <w:rFonts w:ascii="Book Antiqua" w:hAnsi="Book Antiqua"/>
          <w:color w:val="000000" w:themeColor="text1"/>
        </w:rPr>
        <w:t xml:space="preserve">. </w:t>
      </w:r>
    </w:p>
    <w:p w14:paraId="6D81CBA3" w14:textId="6E77E5F7" w:rsidR="00F20790" w:rsidRPr="00C4001E" w:rsidRDefault="00214619" w:rsidP="00C4001E">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sidRPr="007A42A6">
        <w:rPr>
          <w:rFonts w:ascii="Book Antiqua" w:hAnsi="Book Antiqua"/>
          <w:color w:val="000000" w:themeColor="text1"/>
        </w:rPr>
        <w:t xml:space="preserve">The continuing contributions from China and the Republic of Korea, and </w:t>
      </w:r>
      <w:r w:rsidR="007A42A6" w:rsidRPr="007A42A6">
        <w:rPr>
          <w:rFonts w:ascii="Book Antiqua" w:hAnsi="Book Antiqua"/>
          <w:color w:val="000000" w:themeColor="text1"/>
        </w:rPr>
        <w:t>project-based funding of the Russian Federation</w:t>
      </w:r>
      <w:r w:rsidR="002C0FEB">
        <w:rPr>
          <w:rFonts w:ascii="Book Antiqua" w:hAnsi="Book Antiqua"/>
          <w:color w:val="000000" w:themeColor="text1"/>
        </w:rPr>
        <w:t xml:space="preserve"> have </w:t>
      </w:r>
      <w:r w:rsidR="002F2F81">
        <w:rPr>
          <w:rFonts w:ascii="Book Antiqua" w:hAnsi="Book Antiqua"/>
          <w:color w:val="000000" w:themeColor="text1"/>
        </w:rPr>
        <w:t xml:space="preserve">sustained </w:t>
      </w:r>
      <w:r w:rsidR="002C0FEB">
        <w:rPr>
          <w:rFonts w:ascii="Book Antiqua" w:hAnsi="Book Antiqua"/>
          <w:color w:val="000000" w:themeColor="text1"/>
        </w:rPr>
        <w:t>NEASPEC</w:t>
      </w:r>
      <w:r w:rsidR="00127DFC">
        <w:rPr>
          <w:rFonts w:ascii="Book Antiqua" w:hAnsi="Book Antiqua"/>
          <w:color w:val="000000" w:themeColor="text1"/>
        </w:rPr>
        <w:t xml:space="preserve">’s </w:t>
      </w:r>
      <w:r w:rsidR="00BB263D">
        <w:rPr>
          <w:rFonts w:ascii="Book Antiqua" w:hAnsi="Book Antiqua"/>
          <w:color w:val="000000" w:themeColor="text1"/>
        </w:rPr>
        <w:t xml:space="preserve">capability </w:t>
      </w:r>
      <w:r w:rsidR="00127DFC">
        <w:rPr>
          <w:rFonts w:ascii="Book Antiqua" w:hAnsi="Book Antiqua"/>
          <w:color w:val="000000" w:themeColor="text1"/>
        </w:rPr>
        <w:t>to</w:t>
      </w:r>
      <w:r w:rsidR="002C0FEB">
        <w:rPr>
          <w:rFonts w:ascii="Book Antiqua" w:hAnsi="Book Antiqua"/>
          <w:color w:val="000000" w:themeColor="text1"/>
        </w:rPr>
        <w:t xml:space="preserve"> </w:t>
      </w:r>
      <w:r w:rsidR="00305F45">
        <w:rPr>
          <w:rFonts w:ascii="Book Antiqua" w:hAnsi="Book Antiqua"/>
          <w:color w:val="000000" w:themeColor="text1"/>
        </w:rPr>
        <w:t xml:space="preserve">undertake </w:t>
      </w:r>
      <w:r w:rsidR="002C0FEB">
        <w:rPr>
          <w:rFonts w:ascii="Book Antiqua" w:hAnsi="Book Antiqua"/>
          <w:color w:val="000000" w:themeColor="text1"/>
        </w:rPr>
        <w:t xml:space="preserve">technical projects and </w:t>
      </w:r>
      <w:r w:rsidR="00F87D35">
        <w:rPr>
          <w:rFonts w:ascii="Book Antiqua" w:hAnsi="Book Antiqua"/>
          <w:color w:val="000000" w:themeColor="text1"/>
        </w:rPr>
        <w:t>expand the programmatic areas</w:t>
      </w:r>
      <w:r w:rsidR="000373CB">
        <w:rPr>
          <w:rFonts w:ascii="Book Antiqua" w:hAnsi="Book Antiqua"/>
          <w:color w:val="000000" w:themeColor="text1"/>
        </w:rPr>
        <w:t xml:space="preserve"> over the recent years</w:t>
      </w:r>
      <w:r w:rsidR="00F87D35">
        <w:rPr>
          <w:rFonts w:ascii="Book Antiqua" w:hAnsi="Book Antiqua"/>
          <w:color w:val="000000" w:themeColor="text1"/>
        </w:rPr>
        <w:t xml:space="preserve">. </w:t>
      </w:r>
      <w:r w:rsidR="006E4F87">
        <w:rPr>
          <w:rFonts w:ascii="Book Antiqua" w:hAnsi="Book Antiqua"/>
          <w:color w:val="000000" w:themeColor="text1"/>
        </w:rPr>
        <w:t xml:space="preserve">However, the current financial contributions alone will </w:t>
      </w:r>
      <w:r w:rsidR="00707E6C">
        <w:rPr>
          <w:rFonts w:ascii="Book Antiqua" w:hAnsi="Book Antiqua"/>
          <w:color w:val="000000" w:themeColor="text1"/>
        </w:rPr>
        <w:t>not be sufficient to maintain NEASPEC’s operation. T</w:t>
      </w:r>
      <w:r w:rsidR="00F87D35">
        <w:rPr>
          <w:rFonts w:ascii="Book Antiqua" w:hAnsi="Book Antiqua"/>
          <w:color w:val="000000" w:themeColor="text1"/>
        </w:rPr>
        <w:t xml:space="preserve">he in-kind support of ESCAP for </w:t>
      </w:r>
      <w:r w:rsidR="00976EC8">
        <w:rPr>
          <w:rFonts w:ascii="Book Antiqua" w:hAnsi="Book Antiqua"/>
          <w:color w:val="000000" w:themeColor="text1"/>
        </w:rPr>
        <w:t xml:space="preserve">the secretariat operation and project management </w:t>
      </w:r>
      <w:r w:rsidR="00214DCA">
        <w:rPr>
          <w:rFonts w:ascii="Book Antiqua" w:hAnsi="Book Antiqua"/>
          <w:color w:val="000000" w:themeColor="text1"/>
        </w:rPr>
        <w:t xml:space="preserve">has </w:t>
      </w:r>
      <w:r w:rsidR="00976EC8">
        <w:rPr>
          <w:rFonts w:ascii="Book Antiqua" w:hAnsi="Book Antiqua"/>
          <w:color w:val="000000" w:themeColor="text1"/>
        </w:rPr>
        <w:t xml:space="preserve">allowed NEASPEC to </w:t>
      </w:r>
      <w:r w:rsidR="005E6191">
        <w:rPr>
          <w:rFonts w:ascii="Book Antiqua" w:hAnsi="Book Antiqua"/>
          <w:color w:val="000000" w:themeColor="text1"/>
        </w:rPr>
        <w:t xml:space="preserve">maintain </w:t>
      </w:r>
      <w:r w:rsidR="00976EC8">
        <w:rPr>
          <w:rFonts w:ascii="Book Antiqua" w:hAnsi="Book Antiqua"/>
          <w:color w:val="000000" w:themeColor="text1"/>
        </w:rPr>
        <w:t xml:space="preserve">the current level of operation without </w:t>
      </w:r>
      <w:r w:rsidR="005E6191">
        <w:rPr>
          <w:rFonts w:ascii="Book Antiqua" w:hAnsi="Book Antiqua"/>
          <w:color w:val="000000" w:themeColor="text1"/>
        </w:rPr>
        <w:t xml:space="preserve">facing </w:t>
      </w:r>
      <w:r w:rsidR="00693465">
        <w:rPr>
          <w:rFonts w:ascii="Book Antiqua" w:hAnsi="Book Antiqua"/>
          <w:color w:val="000000" w:themeColor="text1"/>
        </w:rPr>
        <w:t>significant financial constraints.</w:t>
      </w:r>
      <w:r w:rsidR="007F154C">
        <w:rPr>
          <w:rFonts w:ascii="Book Antiqua" w:hAnsi="Book Antiqua"/>
          <w:color w:val="000000" w:themeColor="text1"/>
        </w:rPr>
        <w:t xml:space="preserve"> </w:t>
      </w:r>
      <w:r w:rsidR="005E6191">
        <w:rPr>
          <w:rFonts w:ascii="Book Antiqua" w:hAnsi="Book Antiqua"/>
          <w:color w:val="000000" w:themeColor="text1"/>
        </w:rPr>
        <w:t>However, t</w:t>
      </w:r>
      <w:r w:rsidR="00227703">
        <w:rPr>
          <w:rFonts w:ascii="Book Antiqua" w:hAnsi="Book Antiqua"/>
          <w:color w:val="000000" w:themeColor="text1"/>
        </w:rPr>
        <w:t xml:space="preserve">he gradual </w:t>
      </w:r>
      <w:r w:rsidR="007F154C">
        <w:rPr>
          <w:rFonts w:ascii="Book Antiqua" w:hAnsi="Book Antiqua"/>
          <w:color w:val="000000" w:themeColor="text1"/>
        </w:rPr>
        <w:t xml:space="preserve">expansion of the programme areas </w:t>
      </w:r>
      <w:r w:rsidR="005E6191">
        <w:rPr>
          <w:rFonts w:ascii="Book Antiqua" w:hAnsi="Book Antiqua"/>
          <w:color w:val="000000" w:themeColor="text1"/>
        </w:rPr>
        <w:t xml:space="preserve">and further </w:t>
      </w:r>
      <w:r w:rsidR="007C0276">
        <w:rPr>
          <w:rFonts w:ascii="Book Antiqua" w:hAnsi="Book Antiqua"/>
          <w:color w:val="000000" w:themeColor="text1"/>
        </w:rPr>
        <w:t xml:space="preserve">operation of institutionalized platforms in each programmatic area will require </w:t>
      </w:r>
      <w:r w:rsidR="00A113C5">
        <w:rPr>
          <w:rFonts w:ascii="Book Antiqua" w:hAnsi="Book Antiqua"/>
          <w:color w:val="000000" w:themeColor="text1"/>
        </w:rPr>
        <w:t xml:space="preserve">predictable and stable increase of the contributions from NEASPEC member States. </w:t>
      </w:r>
      <w:r w:rsidR="00954A4E" w:rsidRPr="00C4001E">
        <w:rPr>
          <w:rFonts w:ascii="Book Antiqua" w:hAnsi="Book Antiqua"/>
          <w:color w:val="000000" w:themeColor="text1"/>
        </w:rPr>
        <w:t>Thus, member States need to fully reflect the spirit of cooperation by sharing responsibilities including for the financial resources.</w:t>
      </w:r>
    </w:p>
    <w:p w14:paraId="4D3AE8C1" w14:textId="5A7BC5CF" w:rsidR="000B0514" w:rsidRDefault="0027724E" w:rsidP="00661B46">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Pr>
          <w:rFonts w:ascii="Book Antiqua" w:hAnsi="Book Antiqua"/>
          <w:color w:val="000000" w:themeColor="text1"/>
        </w:rPr>
        <w:t xml:space="preserve">With unfolding climate crisis </w:t>
      </w:r>
      <w:r w:rsidR="00EF682F">
        <w:rPr>
          <w:rFonts w:ascii="Book Antiqua" w:hAnsi="Book Antiqua"/>
          <w:color w:val="000000" w:themeColor="text1"/>
        </w:rPr>
        <w:t xml:space="preserve">affecting all spheres of lives, </w:t>
      </w:r>
      <w:r w:rsidR="00F20790">
        <w:rPr>
          <w:rFonts w:ascii="Book Antiqua" w:hAnsi="Book Antiqua"/>
          <w:color w:val="000000" w:themeColor="text1"/>
        </w:rPr>
        <w:t>member States have recently scaled up the commitments to climate actions including plan</w:t>
      </w:r>
      <w:r w:rsidR="0029668D">
        <w:rPr>
          <w:rFonts w:ascii="Book Antiqua" w:hAnsi="Book Antiqua"/>
          <w:color w:val="000000" w:themeColor="text1"/>
        </w:rPr>
        <w:t xml:space="preserve">s for becoming </w:t>
      </w:r>
      <w:r w:rsidR="00F20790">
        <w:rPr>
          <w:rFonts w:ascii="Book Antiqua" w:hAnsi="Book Antiqua"/>
          <w:color w:val="000000" w:themeColor="text1"/>
        </w:rPr>
        <w:t>carbon neutral by mid</w:t>
      </w:r>
      <w:r w:rsidR="0029668D">
        <w:rPr>
          <w:rFonts w:ascii="Book Antiqua" w:hAnsi="Book Antiqua"/>
          <w:color w:val="000000" w:themeColor="text1"/>
        </w:rPr>
        <w:t>-</w:t>
      </w:r>
      <w:r w:rsidR="00F20790">
        <w:rPr>
          <w:rFonts w:ascii="Book Antiqua" w:hAnsi="Book Antiqua"/>
          <w:color w:val="000000" w:themeColor="text1"/>
        </w:rPr>
        <w:t>century</w:t>
      </w:r>
      <w:r w:rsidR="0029668D">
        <w:rPr>
          <w:rFonts w:ascii="Book Antiqua" w:hAnsi="Book Antiqua"/>
          <w:color w:val="000000" w:themeColor="text1"/>
        </w:rPr>
        <w:t xml:space="preserve">, which requires massive transformations in all sectors of economy and society. Such </w:t>
      </w:r>
      <w:r w:rsidR="0029668D">
        <w:rPr>
          <w:rFonts w:ascii="Book Antiqua" w:hAnsi="Book Antiqua"/>
          <w:color w:val="000000" w:themeColor="text1"/>
        </w:rPr>
        <w:lastRenderedPageBreak/>
        <w:t>transformations will entail strengthened multilateral collaboration from subregional to global levels</w:t>
      </w:r>
      <w:r w:rsidR="00BB7472">
        <w:rPr>
          <w:rFonts w:ascii="Book Antiqua" w:hAnsi="Book Antiqua"/>
          <w:color w:val="000000" w:themeColor="text1"/>
        </w:rPr>
        <w:t>, and expand the scope of the current subregional environmental cooperation</w:t>
      </w:r>
      <w:r w:rsidR="0029668D">
        <w:rPr>
          <w:rFonts w:ascii="Book Antiqua" w:hAnsi="Book Antiqua"/>
          <w:color w:val="000000" w:themeColor="text1"/>
        </w:rPr>
        <w:t xml:space="preserve">. Thus, </w:t>
      </w:r>
      <w:r w:rsidR="000775F7">
        <w:rPr>
          <w:rFonts w:ascii="Book Antiqua" w:hAnsi="Book Antiqua"/>
          <w:color w:val="000000" w:themeColor="text1"/>
        </w:rPr>
        <w:t>member States</w:t>
      </w:r>
      <w:r w:rsidR="00954A4E">
        <w:rPr>
          <w:rFonts w:ascii="Book Antiqua" w:hAnsi="Book Antiqua"/>
          <w:color w:val="000000" w:themeColor="text1"/>
        </w:rPr>
        <w:t xml:space="preserve"> could envision the future of NEASPEC, </w:t>
      </w:r>
      <w:r w:rsidR="00BB7472">
        <w:rPr>
          <w:rFonts w:ascii="Book Antiqua" w:hAnsi="Book Antiqua"/>
          <w:color w:val="000000" w:themeColor="text1"/>
        </w:rPr>
        <w:t>a</w:t>
      </w:r>
      <w:r w:rsidR="00954A4E">
        <w:rPr>
          <w:rFonts w:ascii="Book Antiqua" w:hAnsi="Book Antiqua"/>
          <w:color w:val="000000" w:themeColor="text1"/>
        </w:rPr>
        <w:t xml:space="preserve"> unique </w:t>
      </w:r>
      <w:r w:rsidR="00EF682F">
        <w:rPr>
          <w:rFonts w:ascii="Book Antiqua" w:hAnsi="Book Antiqua"/>
          <w:color w:val="000000" w:themeColor="text1"/>
        </w:rPr>
        <w:t>intergovernmental</w:t>
      </w:r>
      <w:r w:rsidR="0029668D">
        <w:rPr>
          <w:rFonts w:ascii="Book Antiqua" w:hAnsi="Book Antiqua"/>
          <w:color w:val="000000" w:themeColor="text1"/>
        </w:rPr>
        <w:t xml:space="preserve"> </w:t>
      </w:r>
      <w:r w:rsidR="00EF682F">
        <w:rPr>
          <w:rFonts w:ascii="Book Antiqua" w:hAnsi="Book Antiqua"/>
          <w:color w:val="000000" w:themeColor="text1"/>
        </w:rPr>
        <w:t xml:space="preserve">mechanism for environmental cooperation, </w:t>
      </w:r>
      <w:r w:rsidR="00954A4E">
        <w:rPr>
          <w:rFonts w:ascii="Book Antiqua" w:hAnsi="Book Antiqua"/>
          <w:color w:val="000000" w:themeColor="text1"/>
        </w:rPr>
        <w:t xml:space="preserve">in this context and consider improving the funding modality to strengthen the basis of multilateral cooperation in the mid and long term.  </w:t>
      </w:r>
    </w:p>
    <w:p w14:paraId="468ACB39" w14:textId="08BE225B" w:rsidR="003B5D5B" w:rsidRDefault="009F34FC" w:rsidP="003B5D5B">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sidRPr="007A42A6">
        <w:rPr>
          <w:rFonts w:ascii="Book Antiqua" w:hAnsi="Book Antiqua"/>
          <w:color w:val="000000" w:themeColor="text1"/>
        </w:rPr>
        <w:t xml:space="preserve">In this regard, </w:t>
      </w:r>
      <w:r w:rsidR="00662BFE" w:rsidRPr="007A42A6">
        <w:rPr>
          <w:rFonts w:ascii="Book Antiqua" w:hAnsi="Book Antiqua"/>
          <w:color w:val="000000" w:themeColor="text1"/>
        </w:rPr>
        <w:t xml:space="preserve">the member States </w:t>
      </w:r>
      <w:r w:rsidR="002C3338">
        <w:rPr>
          <w:rFonts w:ascii="Book Antiqua" w:hAnsi="Book Antiqua"/>
          <w:color w:val="000000" w:themeColor="text1"/>
        </w:rPr>
        <w:t xml:space="preserve">may deliberate on </w:t>
      </w:r>
      <w:r w:rsidR="00151C21" w:rsidRPr="007A42A6">
        <w:rPr>
          <w:rFonts w:ascii="Book Antiqua" w:hAnsi="Book Antiqua"/>
          <w:color w:val="000000" w:themeColor="text1"/>
        </w:rPr>
        <w:t>the following options</w:t>
      </w:r>
      <w:r w:rsidR="0055114B">
        <w:rPr>
          <w:rFonts w:ascii="Book Antiqua" w:hAnsi="Book Antiqua"/>
          <w:color w:val="000000" w:themeColor="text1"/>
        </w:rPr>
        <w:t xml:space="preserve"> for making the </w:t>
      </w:r>
      <w:r w:rsidR="00127654">
        <w:rPr>
          <w:rFonts w:ascii="Book Antiqua" w:hAnsi="Book Antiqua"/>
          <w:color w:val="000000" w:themeColor="text1"/>
        </w:rPr>
        <w:t xml:space="preserve">financial arrangements of NEASPEC </w:t>
      </w:r>
      <w:r w:rsidR="003B5D5B" w:rsidRPr="00294B32">
        <w:rPr>
          <w:rFonts w:ascii="Book Antiqua" w:hAnsi="Book Antiqua"/>
          <w:color w:val="000000" w:themeColor="text1"/>
        </w:rPr>
        <w:t>more reliable, predictable</w:t>
      </w:r>
      <w:r w:rsidR="00C6459E">
        <w:rPr>
          <w:rFonts w:ascii="Book Antiqua" w:hAnsi="Book Antiqua"/>
          <w:color w:val="000000" w:themeColor="text1"/>
        </w:rPr>
        <w:t>,</w:t>
      </w:r>
      <w:r w:rsidR="003B5D5B" w:rsidRPr="00294B32">
        <w:rPr>
          <w:rFonts w:ascii="Book Antiqua" w:hAnsi="Book Antiqua"/>
          <w:color w:val="000000" w:themeColor="text1"/>
        </w:rPr>
        <w:t xml:space="preserve"> and equitable. </w:t>
      </w:r>
    </w:p>
    <w:p w14:paraId="3B2C6DD1" w14:textId="0138A6A6" w:rsidR="00151C21" w:rsidRDefault="00417B31" w:rsidP="00151C21">
      <w:pPr>
        <w:pStyle w:val="ListParagraph"/>
        <w:numPr>
          <w:ilvl w:val="0"/>
          <w:numId w:val="7"/>
        </w:numPr>
        <w:snapToGrid w:val="0"/>
        <w:spacing w:after="120" w:line="276" w:lineRule="auto"/>
        <w:contextualSpacing w:val="0"/>
        <w:jc w:val="both"/>
        <w:rPr>
          <w:rFonts w:ascii="Book Antiqua" w:hAnsi="Book Antiqua"/>
          <w:color w:val="000000" w:themeColor="text1"/>
        </w:rPr>
      </w:pPr>
      <w:r>
        <w:rPr>
          <w:rFonts w:ascii="Book Antiqua" w:hAnsi="Book Antiqua"/>
          <w:b/>
          <w:bCs/>
          <w:color w:val="000000" w:themeColor="text1"/>
        </w:rPr>
        <w:t xml:space="preserve">Option 1: </w:t>
      </w:r>
      <w:r w:rsidR="00151C21" w:rsidRPr="00F16DEF">
        <w:rPr>
          <w:rFonts w:ascii="Book Antiqua" w:hAnsi="Book Antiqua"/>
          <w:b/>
          <w:bCs/>
          <w:color w:val="000000" w:themeColor="text1"/>
        </w:rPr>
        <w:t xml:space="preserve">Mandatory contribution </w:t>
      </w:r>
      <w:r w:rsidR="000300EA" w:rsidRPr="00F16DEF">
        <w:rPr>
          <w:rFonts w:ascii="Book Antiqua" w:hAnsi="Book Antiqua"/>
          <w:b/>
          <w:bCs/>
          <w:color w:val="000000" w:themeColor="text1"/>
        </w:rPr>
        <w:t>based on agreed scale for each member State</w:t>
      </w:r>
      <w:r w:rsidR="000300EA">
        <w:rPr>
          <w:rFonts w:ascii="Book Antiqua" w:hAnsi="Book Antiqua"/>
          <w:color w:val="000000" w:themeColor="text1"/>
        </w:rPr>
        <w:t xml:space="preserve">: </w:t>
      </w:r>
      <w:r w:rsidR="00E041DC">
        <w:rPr>
          <w:rFonts w:ascii="Book Antiqua" w:hAnsi="Book Antiqua"/>
          <w:color w:val="000000" w:themeColor="text1"/>
        </w:rPr>
        <w:t>Member States could review the funding modality of the</w:t>
      </w:r>
      <w:r w:rsidR="00AE533B">
        <w:rPr>
          <w:rFonts w:ascii="Book Antiqua" w:hAnsi="Book Antiqua"/>
          <w:color w:val="000000" w:themeColor="text1"/>
        </w:rPr>
        <w:t xml:space="preserve"> three mechanisms, </w:t>
      </w:r>
      <w:r w:rsidR="00741518">
        <w:rPr>
          <w:rFonts w:ascii="Book Antiqua" w:hAnsi="Book Antiqua"/>
          <w:color w:val="000000" w:themeColor="text1"/>
        </w:rPr>
        <w:t xml:space="preserve">i.e., </w:t>
      </w:r>
      <w:r w:rsidR="00AE533B">
        <w:rPr>
          <w:rFonts w:ascii="Book Antiqua" w:hAnsi="Book Antiqua"/>
          <w:color w:val="000000" w:themeColor="text1"/>
        </w:rPr>
        <w:t>NOWPAP, SACEP and SPREP</w:t>
      </w:r>
      <w:r w:rsidR="009D3D2A">
        <w:rPr>
          <w:rFonts w:ascii="Book Antiqua" w:hAnsi="Book Antiqua"/>
          <w:color w:val="000000" w:themeColor="text1"/>
        </w:rPr>
        <w:t xml:space="preserve">, </w:t>
      </w:r>
      <w:r w:rsidR="00741518">
        <w:rPr>
          <w:rFonts w:ascii="Book Antiqua" w:hAnsi="Book Antiqua"/>
          <w:color w:val="000000" w:themeColor="text1"/>
        </w:rPr>
        <w:t xml:space="preserve">and consider adopting </w:t>
      </w:r>
      <w:r w:rsidR="00AA63A9">
        <w:rPr>
          <w:rFonts w:ascii="Book Antiqua" w:hAnsi="Book Antiqua"/>
          <w:color w:val="000000" w:themeColor="text1"/>
        </w:rPr>
        <w:t xml:space="preserve">similar </w:t>
      </w:r>
      <w:r w:rsidR="00BA200E">
        <w:rPr>
          <w:rFonts w:ascii="Book Antiqua" w:hAnsi="Book Antiqua"/>
          <w:color w:val="000000" w:themeColor="text1"/>
        </w:rPr>
        <w:t>modality.</w:t>
      </w:r>
    </w:p>
    <w:p w14:paraId="095D02F9" w14:textId="755DDA82" w:rsidR="00BA200E" w:rsidRDefault="00417B31" w:rsidP="00151C21">
      <w:pPr>
        <w:pStyle w:val="ListParagraph"/>
        <w:numPr>
          <w:ilvl w:val="0"/>
          <w:numId w:val="7"/>
        </w:numPr>
        <w:snapToGrid w:val="0"/>
        <w:spacing w:after="120" w:line="276" w:lineRule="auto"/>
        <w:contextualSpacing w:val="0"/>
        <w:jc w:val="both"/>
        <w:rPr>
          <w:rFonts w:ascii="Book Antiqua" w:hAnsi="Book Antiqua"/>
          <w:color w:val="000000" w:themeColor="text1"/>
        </w:rPr>
      </w:pPr>
      <w:r>
        <w:rPr>
          <w:rFonts w:ascii="Book Antiqua" w:hAnsi="Book Antiqua"/>
          <w:b/>
          <w:bCs/>
          <w:color w:val="000000" w:themeColor="text1"/>
        </w:rPr>
        <w:t xml:space="preserve">Option 2: </w:t>
      </w:r>
      <w:r w:rsidR="00BA200E">
        <w:rPr>
          <w:rFonts w:ascii="Book Antiqua" w:hAnsi="Book Antiqua"/>
          <w:b/>
          <w:bCs/>
          <w:color w:val="000000" w:themeColor="text1"/>
        </w:rPr>
        <w:t xml:space="preserve">Voluntary contribution with </w:t>
      </w:r>
      <w:r w:rsidR="00423772">
        <w:rPr>
          <w:rFonts w:ascii="Book Antiqua" w:hAnsi="Book Antiqua"/>
          <w:b/>
          <w:bCs/>
          <w:color w:val="000000" w:themeColor="text1"/>
        </w:rPr>
        <w:t xml:space="preserve">nationally </w:t>
      </w:r>
      <w:r w:rsidR="0055114B">
        <w:rPr>
          <w:rFonts w:ascii="Book Antiqua" w:hAnsi="Book Antiqua"/>
          <w:b/>
          <w:bCs/>
          <w:color w:val="000000" w:themeColor="text1"/>
        </w:rPr>
        <w:t xml:space="preserve">pledged </w:t>
      </w:r>
      <w:r w:rsidR="00423772">
        <w:rPr>
          <w:rFonts w:ascii="Book Antiqua" w:hAnsi="Book Antiqua"/>
          <w:b/>
          <w:bCs/>
          <w:color w:val="000000" w:themeColor="text1"/>
        </w:rPr>
        <w:t>scale</w:t>
      </w:r>
      <w:r w:rsidR="003366E6">
        <w:rPr>
          <w:rFonts w:ascii="Book Antiqua" w:hAnsi="Book Antiqua"/>
          <w:b/>
          <w:bCs/>
          <w:color w:val="000000" w:themeColor="text1"/>
        </w:rPr>
        <w:t xml:space="preserve"> from all member</w:t>
      </w:r>
      <w:r w:rsidR="0055114B">
        <w:rPr>
          <w:rFonts w:ascii="Book Antiqua" w:hAnsi="Book Antiqua"/>
          <w:b/>
          <w:bCs/>
          <w:color w:val="000000" w:themeColor="text1"/>
        </w:rPr>
        <w:t xml:space="preserve"> States</w:t>
      </w:r>
      <w:r w:rsidR="003366E6">
        <w:rPr>
          <w:rFonts w:ascii="Book Antiqua" w:hAnsi="Book Antiqua"/>
          <w:b/>
          <w:bCs/>
          <w:color w:val="000000" w:themeColor="text1"/>
        </w:rPr>
        <w:t xml:space="preserve">: </w:t>
      </w:r>
      <w:r w:rsidR="002231D0">
        <w:rPr>
          <w:rFonts w:ascii="Book Antiqua" w:hAnsi="Book Antiqua"/>
          <w:color w:val="000000" w:themeColor="text1"/>
        </w:rPr>
        <w:t xml:space="preserve">Each </w:t>
      </w:r>
      <w:r w:rsidR="002815E9" w:rsidRPr="009D14AA">
        <w:rPr>
          <w:rFonts w:ascii="Book Antiqua" w:hAnsi="Book Antiqua"/>
          <w:color w:val="000000" w:themeColor="text1"/>
        </w:rPr>
        <w:t xml:space="preserve">member State could </w:t>
      </w:r>
      <w:r w:rsidR="009D14AA" w:rsidRPr="009D14AA">
        <w:rPr>
          <w:rFonts w:ascii="Book Antiqua" w:hAnsi="Book Antiqua"/>
          <w:color w:val="000000" w:themeColor="text1"/>
        </w:rPr>
        <w:t xml:space="preserve">pledge </w:t>
      </w:r>
      <w:r w:rsidR="002231D0">
        <w:rPr>
          <w:rFonts w:ascii="Book Antiqua" w:hAnsi="Book Antiqua"/>
          <w:color w:val="000000" w:themeColor="text1"/>
        </w:rPr>
        <w:t>the</w:t>
      </w:r>
      <w:r w:rsidR="009D14AA" w:rsidRPr="009D14AA">
        <w:rPr>
          <w:rFonts w:ascii="Book Antiqua" w:hAnsi="Book Antiqua"/>
          <w:color w:val="000000" w:themeColor="text1"/>
        </w:rPr>
        <w:t xml:space="preserve"> scale of </w:t>
      </w:r>
      <w:r w:rsidR="002231D0">
        <w:rPr>
          <w:rFonts w:ascii="Book Antiqua" w:hAnsi="Book Antiqua"/>
          <w:color w:val="000000" w:themeColor="text1"/>
        </w:rPr>
        <w:t xml:space="preserve">its </w:t>
      </w:r>
      <w:r w:rsidR="009D14AA" w:rsidRPr="009D14AA">
        <w:rPr>
          <w:rFonts w:ascii="Book Antiqua" w:hAnsi="Book Antiqua"/>
          <w:color w:val="000000" w:themeColor="text1"/>
        </w:rPr>
        <w:t xml:space="preserve">intended </w:t>
      </w:r>
      <w:r w:rsidR="001F36BF">
        <w:rPr>
          <w:rFonts w:ascii="Book Antiqua" w:hAnsi="Book Antiqua"/>
          <w:color w:val="000000" w:themeColor="text1"/>
        </w:rPr>
        <w:t xml:space="preserve">annual </w:t>
      </w:r>
      <w:r w:rsidR="009D14AA" w:rsidRPr="009D14AA">
        <w:rPr>
          <w:rFonts w:ascii="Book Antiqua" w:hAnsi="Book Antiqua"/>
          <w:color w:val="000000" w:themeColor="text1"/>
        </w:rPr>
        <w:t>contribution to the Core Fund</w:t>
      </w:r>
      <w:r w:rsidR="001F36BF">
        <w:rPr>
          <w:rFonts w:ascii="Book Antiqua" w:hAnsi="Book Antiqua"/>
          <w:color w:val="000000" w:themeColor="text1"/>
        </w:rPr>
        <w:t xml:space="preserve"> and </w:t>
      </w:r>
      <w:r w:rsidR="0035442B">
        <w:rPr>
          <w:rFonts w:ascii="Book Antiqua" w:hAnsi="Book Antiqua"/>
          <w:color w:val="000000" w:themeColor="text1"/>
        </w:rPr>
        <w:t xml:space="preserve">commit </w:t>
      </w:r>
      <w:r w:rsidR="003F58D3">
        <w:rPr>
          <w:rFonts w:ascii="Book Antiqua" w:hAnsi="Book Antiqua"/>
          <w:color w:val="000000" w:themeColor="text1"/>
        </w:rPr>
        <w:t xml:space="preserve">to </w:t>
      </w:r>
      <w:r w:rsidR="001C6F78">
        <w:rPr>
          <w:rFonts w:ascii="Book Antiqua" w:hAnsi="Book Antiqua"/>
          <w:color w:val="000000" w:themeColor="text1"/>
        </w:rPr>
        <w:t xml:space="preserve">delivering </w:t>
      </w:r>
      <w:r w:rsidR="000C2FE1">
        <w:rPr>
          <w:rFonts w:ascii="Book Antiqua" w:hAnsi="Book Antiqua"/>
          <w:color w:val="000000" w:themeColor="text1"/>
        </w:rPr>
        <w:t xml:space="preserve">on </w:t>
      </w:r>
      <w:r w:rsidR="00A03D9F">
        <w:rPr>
          <w:rFonts w:ascii="Book Antiqua" w:hAnsi="Book Antiqua"/>
          <w:color w:val="000000" w:themeColor="text1"/>
        </w:rPr>
        <w:t>the pledge</w:t>
      </w:r>
      <w:r w:rsidR="00387020">
        <w:rPr>
          <w:rFonts w:ascii="Book Antiqua" w:hAnsi="Book Antiqua"/>
          <w:color w:val="000000" w:themeColor="text1"/>
        </w:rPr>
        <w:t xml:space="preserve">d </w:t>
      </w:r>
      <w:r w:rsidR="0060435F">
        <w:rPr>
          <w:rFonts w:ascii="Book Antiqua" w:hAnsi="Book Antiqua"/>
          <w:color w:val="000000" w:themeColor="text1"/>
        </w:rPr>
        <w:t>scale</w:t>
      </w:r>
      <w:r w:rsidR="009D14AA" w:rsidRPr="009D14AA">
        <w:rPr>
          <w:rFonts w:ascii="Book Antiqua" w:hAnsi="Book Antiqua"/>
          <w:color w:val="000000" w:themeColor="text1"/>
        </w:rPr>
        <w:t>.</w:t>
      </w:r>
      <w:r w:rsidR="009D14AA">
        <w:rPr>
          <w:rFonts w:ascii="Book Antiqua" w:hAnsi="Book Antiqua"/>
          <w:b/>
          <w:bCs/>
          <w:color w:val="000000" w:themeColor="text1"/>
        </w:rPr>
        <w:t xml:space="preserve"> </w:t>
      </w:r>
    </w:p>
    <w:p w14:paraId="6D7304C5" w14:textId="6A158EA8" w:rsidR="00CF534D" w:rsidRDefault="00602E1D" w:rsidP="00417B31">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Pr>
          <w:rFonts w:ascii="Book Antiqua" w:hAnsi="Book Antiqua"/>
          <w:color w:val="000000" w:themeColor="text1"/>
        </w:rPr>
        <w:t>M</w:t>
      </w:r>
      <w:r w:rsidR="009B4A71">
        <w:rPr>
          <w:rFonts w:ascii="Book Antiqua" w:hAnsi="Book Antiqua"/>
          <w:color w:val="000000" w:themeColor="text1"/>
        </w:rPr>
        <w:t xml:space="preserve">ember States could </w:t>
      </w:r>
      <w:r>
        <w:rPr>
          <w:rFonts w:ascii="Book Antiqua" w:hAnsi="Book Antiqua"/>
          <w:color w:val="000000" w:themeColor="text1"/>
        </w:rPr>
        <w:t xml:space="preserve">also </w:t>
      </w:r>
      <w:r w:rsidR="00C938FB">
        <w:rPr>
          <w:rFonts w:ascii="Book Antiqua" w:hAnsi="Book Antiqua"/>
          <w:color w:val="000000" w:themeColor="text1"/>
        </w:rPr>
        <w:t xml:space="preserve">provide </w:t>
      </w:r>
      <w:r w:rsidR="00C938FB" w:rsidRPr="00D5037C">
        <w:rPr>
          <w:rFonts w:ascii="Book Antiqua" w:hAnsi="Book Antiqua"/>
          <w:b/>
          <w:bCs/>
          <w:color w:val="000000" w:themeColor="text1"/>
        </w:rPr>
        <w:t>project-based funding</w:t>
      </w:r>
      <w:r w:rsidR="00C938FB">
        <w:rPr>
          <w:rFonts w:ascii="Book Antiqua" w:hAnsi="Book Antiqua"/>
          <w:color w:val="000000" w:themeColor="text1"/>
        </w:rPr>
        <w:t xml:space="preserve"> </w:t>
      </w:r>
      <w:r w:rsidR="009973DE">
        <w:rPr>
          <w:rFonts w:ascii="Book Antiqua" w:hAnsi="Book Antiqua"/>
          <w:color w:val="000000" w:themeColor="text1"/>
        </w:rPr>
        <w:t xml:space="preserve">including through </w:t>
      </w:r>
      <w:r w:rsidR="004A6961">
        <w:rPr>
          <w:rFonts w:ascii="Book Antiqua" w:hAnsi="Book Antiqua"/>
          <w:color w:val="000000" w:themeColor="text1"/>
        </w:rPr>
        <w:t>direct contribution</w:t>
      </w:r>
      <w:r w:rsidR="003D7A69">
        <w:rPr>
          <w:rFonts w:ascii="Book Antiqua" w:hAnsi="Book Antiqua"/>
          <w:color w:val="000000" w:themeColor="text1"/>
        </w:rPr>
        <w:t>s</w:t>
      </w:r>
      <w:r w:rsidR="004A6961">
        <w:rPr>
          <w:rFonts w:ascii="Book Antiqua" w:hAnsi="Book Antiqua"/>
          <w:color w:val="000000" w:themeColor="text1"/>
        </w:rPr>
        <w:t xml:space="preserve"> to NEASPEC as being made by the Russian Federation </w:t>
      </w:r>
      <w:r w:rsidR="003D7A69">
        <w:rPr>
          <w:rFonts w:ascii="Book Antiqua" w:hAnsi="Book Antiqua"/>
          <w:color w:val="000000" w:themeColor="text1"/>
        </w:rPr>
        <w:t>and</w:t>
      </w:r>
      <w:r>
        <w:rPr>
          <w:rFonts w:ascii="Book Antiqua" w:hAnsi="Book Antiqua"/>
          <w:color w:val="000000" w:themeColor="text1"/>
        </w:rPr>
        <w:t xml:space="preserve"> indirect contributions through</w:t>
      </w:r>
      <w:r w:rsidR="00BD26CD">
        <w:rPr>
          <w:rFonts w:ascii="Book Antiqua" w:hAnsi="Book Antiqua"/>
          <w:color w:val="000000" w:themeColor="text1"/>
        </w:rPr>
        <w:t xml:space="preserve"> </w:t>
      </w:r>
      <w:r w:rsidR="008B0F8F">
        <w:rPr>
          <w:rFonts w:ascii="Book Antiqua" w:hAnsi="Book Antiqua"/>
          <w:color w:val="000000" w:themeColor="text1"/>
        </w:rPr>
        <w:t>their respective national institutions</w:t>
      </w:r>
      <w:r>
        <w:rPr>
          <w:rFonts w:ascii="Book Antiqua" w:hAnsi="Book Antiqua"/>
          <w:color w:val="000000" w:themeColor="text1"/>
        </w:rPr>
        <w:t xml:space="preserve"> </w:t>
      </w:r>
      <w:r w:rsidR="00695A74">
        <w:rPr>
          <w:rFonts w:ascii="Book Antiqua" w:hAnsi="Book Antiqua"/>
          <w:color w:val="000000" w:themeColor="text1"/>
        </w:rPr>
        <w:t xml:space="preserve">to the development and implementation of activities in the areas </w:t>
      </w:r>
      <w:r w:rsidR="00BC4012">
        <w:rPr>
          <w:rFonts w:ascii="Book Antiqua" w:hAnsi="Book Antiqua"/>
          <w:color w:val="000000" w:themeColor="text1"/>
        </w:rPr>
        <w:t xml:space="preserve">of the NEASPEC Strategic Plan. </w:t>
      </w:r>
      <w:r w:rsidR="0066082D">
        <w:rPr>
          <w:rFonts w:ascii="Book Antiqua" w:hAnsi="Book Antiqua"/>
          <w:color w:val="000000" w:themeColor="text1"/>
        </w:rPr>
        <w:t xml:space="preserve">Such </w:t>
      </w:r>
      <w:r w:rsidR="006F6E2A">
        <w:rPr>
          <w:rFonts w:ascii="Book Antiqua" w:hAnsi="Book Antiqua"/>
          <w:color w:val="000000" w:themeColor="text1"/>
        </w:rPr>
        <w:t xml:space="preserve">intended </w:t>
      </w:r>
      <w:r w:rsidR="0066082D">
        <w:rPr>
          <w:rFonts w:ascii="Book Antiqua" w:hAnsi="Book Antiqua"/>
          <w:color w:val="000000" w:themeColor="text1"/>
        </w:rPr>
        <w:t xml:space="preserve">contributions could be </w:t>
      </w:r>
      <w:r w:rsidR="006F6E2A">
        <w:rPr>
          <w:rFonts w:ascii="Book Antiqua" w:hAnsi="Book Antiqua"/>
          <w:color w:val="000000" w:themeColor="text1"/>
        </w:rPr>
        <w:t xml:space="preserve">communicated with </w:t>
      </w:r>
      <w:r w:rsidR="00462E34">
        <w:rPr>
          <w:rFonts w:ascii="Book Antiqua" w:hAnsi="Book Antiqua"/>
          <w:color w:val="000000" w:themeColor="text1"/>
        </w:rPr>
        <w:t xml:space="preserve">other member States and the secretariat well in advance </w:t>
      </w:r>
      <w:r w:rsidR="00CB7A48">
        <w:rPr>
          <w:rFonts w:ascii="Book Antiqua" w:hAnsi="Book Antiqua"/>
          <w:color w:val="000000" w:themeColor="text1"/>
        </w:rPr>
        <w:t xml:space="preserve">to </w:t>
      </w:r>
      <w:r w:rsidR="00470005">
        <w:rPr>
          <w:rFonts w:ascii="Book Antiqua" w:hAnsi="Book Antiqua"/>
          <w:color w:val="000000" w:themeColor="text1"/>
        </w:rPr>
        <w:t>make the contributions predictable</w:t>
      </w:r>
      <w:r w:rsidR="00CF534D">
        <w:rPr>
          <w:rFonts w:ascii="Book Antiqua" w:hAnsi="Book Antiqua"/>
          <w:color w:val="000000" w:themeColor="text1"/>
        </w:rPr>
        <w:t xml:space="preserve"> for better planning.</w:t>
      </w:r>
    </w:p>
    <w:p w14:paraId="6B76ADB6" w14:textId="079A6170" w:rsidR="00CF534D" w:rsidRDefault="00602E1D" w:rsidP="00F86245">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Pr>
          <w:rFonts w:ascii="Book Antiqua" w:hAnsi="Book Antiqua"/>
          <w:color w:val="000000" w:themeColor="text1"/>
        </w:rPr>
        <w:t xml:space="preserve">Furthermore, a new modality of national contributions </w:t>
      </w:r>
      <w:r w:rsidR="007917FE">
        <w:rPr>
          <w:rFonts w:ascii="Book Antiqua" w:hAnsi="Book Antiqua"/>
          <w:color w:val="000000" w:themeColor="text1"/>
        </w:rPr>
        <w:t>needs to be better institutionalized</w:t>
      </w:r>
      <w:r w:rsidR="007917FE" w:rsidRPr="00602E1D">
        <w:rPr>
          <w:rFonts w:ascii="Book Antiqua" w:hAnsi="Book Antiqua"/>
          <w:color w:val="000000" w:themeColor="text1"/>
        </w:rPr>
        <w:t>, for example, through a trust fund agreement</w:t>
      </w:r>
      <w:r w:rsidR="007917FE">
        <w:rPr>
          <w:rFonts w:ascii="Book Antiqua" w:hAnsi="Book Antiqua"/>
          <w:color w:val="000000" w:themeColor="text1"/>
        </w:rPr>
        <w:t>, as proposed in the ESCAP management response to the independent evaluation. T</w:t>
      </w:r>
      <w:r w:rsidR="000E2169" w:rsidRPr="00602E1D">
        <w:rPr>
          <w:rFonts w:ascii="Book Antiqua" w:hAnsi="Book Antiqua"/>
          <w:color w:val="000000" w:themeColor="text1"/>
        </w:rPr>
        <w:t>he trust fund modality has been</w:t>
      </w:r>
      <w:r w:rsidR="002253E1" w:rsidRPr="00602E1D">
        <w:rPr>
          <w:rFonts w:ascii="Book Antiqua" w:hAnsi="Book Antiqua"/>
          <w:color w:val="000000" w:themeColor="text1"/>
        </w:rPr>
        <w:t xml:space="preserve"> widely and</w:t>
      </w:r>
      <w:r w:rsidR="00914480" w:rsidRPr="00602E1D">
        <w:rPr>
          <w:rFonts w:ascii="Book Antiqua" w:hAnsi="Book Antiqua"/>
          <w:color w:val="000000" w:themeColor="text1"/>
        </w:rPr>
        <w:t xml:space="preserve"> </w:t>
      </w:r>
      <w:r w:rsidR="000E2169" w:rsidRPr="00602E1D">
        <w:rPr>
          <w:rFonts w:ascii="Book Antiqua" w:hAnsi="Book Antiqua"/>
          <w:color w:val="000000" w:themeColor="text1"/>
        </w:rPr>
        <w:t xml:space="preserve">well applied by other subregional environmental </w:t>
      </w:r>
      <w:r w:rsidR="00D36315" w:rsidRPr="00602E1D">
        <w:rPr>
          <w:rFonts w:ascii="Book Antiqua" w:hAnsi="Book Antiqua"/>
          <w:color w:val="000000" w:themeColor="text1"/>
        </w:rPr>
        <w:t xml:space="preserve">cooperation </w:t>
      </w:r>
      <w:r w:rsidR="000E2169" w:rsidRPr="00602E1D">
        <w:rPr>
          <w:rFonts w:ascii="Book Antiqua" w:hAnsi="Book Antiqua"/>
          <w:color w:val="000000" w:themeColor="text1"/>
        </w:rPr>
        <w:t>mechanisms</w:t>
      </w:r>
      <w:r w:rsidR="007917FE">
        <w:rPr>
          <w:rFonts w:ascii="Book Antiqua" w:hAnsi="Book Antiqua"/>
          <w:color w:val="000000" w:themeColor="text1"/>
        </w:rPr>
        <w:t>. A</w:t>
      </w:r>
      <w:r w:rsidR="007917FE" w:rsidRPr="00602E1D">
        <w:rPr>
          <w:rFonts w:ascii="Book Antiqua" w:hAnsi="Book Antiqua"/>
          <w:color w:val="000000" w:themeColor="text1"/>
        </w:rPr>
        <w:t xml:space="preserve"> draft trust fund agreement </w:t>
      </w:r>
      <w:r w:rsidR="007917FE">
        <w:rPr>
          <w:rFonts w:ascii="Book Antiqua" w:hAnsi="Book Antiqua"/>
          <w:color w:val="000000" w:themeColor="text1"/>
        </w:rPr>
        <w:t xml:space="preserve">was also </w:t>
      </w:r>
      <w:r w:rsidR="007917FE" w:rsidRPr="00602E1D">
        <w:rPr>
          <w:rFonts w:ascii="Book Antiqua" w:hAnsi="Book Antiqua"/>
          <w:color w:val="000000" w:themeColor="text1"/>
        </w:rPr>
        <w:t xml:space="preserve">presented to SOM-12 in 2007 </w:t>
      </w:r>
      <w:r w:rsidR="007917FE">
        <w:rPr>
          <w:rFonts w:ascii="Book Antiqua" w:hAnsi="Book Antiqua"/>
          <w:color w:val="000000" w:themeColor="text1"/>
        </w:rPr>
        <w:t xml:space="preserve">for the consideration of member States, which is attached as an annex to this document as </w:t>
      </w:r>
      <w:r w:rsidR="007917FE" w:rsidRPr="00602E1D">
        <w:rPr>
          <w:rFonts w:ascii="Book Antiqua" w:hAnsi="Book Antiqua"/>
          <w:color w:val="000000" w:themeColor="text1"/>
        </w:rPr>
        <w:t xml:space="preserve">a reference for further discussion. </w:t>
      </w:r>
      <w:r w:rsidR="007917FE">
        <w:rPr>
          <w:rFonts w:ascii="Book Antiqua" w:hAnsi="Book Antiqua"/>
          <w:color w:val="000000" w:themeColor="text1"/>
        </w:rPr>
        <w:t>Thus,</w:t>
      </w:r>
      <w:r w:rsidR="008665CE" w:rsidRPr="00602E1D">
        <w:rPr>
          <w:rFonts w:ascii="Book Antiqua" w:hAnsi="Book Antiqua"/>
          <w:color w:val="000000" w:themeColor="text1"/>
        </w:rPr>
        <w:t xml:space="preserve"> </w:t>
      </w:r>
      <w:r w:rsidR="00223E08" w:rsidRPr="00602E1D">
        <w:rPr>
          <w:rFonts w:ascii="Book Antiqua" w:hAnsi="Book Antiqua"/>
          <w:color w:val="000000" w:themeColor="text1"/>
        </w:rPr>
        <w:t xml:space="preserve">member States </w:t>
      </w:r>
      <w:r w:rsidR="00D24DB1" w:rsidRPr="00602E1D">
        <w:rPr>
          <w:rFonts w:ascii="Book Antiqua" w:hAnsi="Book Antiqua"/>
          <w:color w:val="000000" w:themeColor="text1"/>
        </w:rPr>
        <w:t xml:space="preserve">may wish to </w:t>
      </w:r>
      <w:r w:rsidR="00223E08" w:rsidRPr="00602E1D">
        <w:rPr>
          <w:rFonts w:ascii="Book Antiqua" w:hAnsi="Book Antiqua"/>
          <w:color w:val="000000" w:themeColor="text1"/>
        </w:rPr>
        <w:t xml:space="preserve">consider adopting a formal agreement </w:t>
      </w:r>
      <w:r w:rsidR="009C11D8" w:rsidRPr="00602E1D">
        <w:rPr>
          <w:rFonts w:ascii="Book Antiqua" w:hAnsi="Book Antiqua"/>
          <w:color w:val="000000" w:themeColor="text1"/>
        </w:rPr>
        <w:t>on a trust fund for NEASPEC</w:t>
      </w:r>
      <w:r w:rsidR="003A2830" w:rsidRPr="00602E1D">
        <w:rPr>
          <w:rFonts w:ascii="Book Antiqua" w:hAnsi="Book Antiqua"/>
          <w:color w:val="000000" w:themeColor="text1"/>
        </w:rPr>
        <w:t>.</w:t>
      </w:r>
      <w:r w:rsidR="00FE4418" w:rsidRPr="00602E1D">
        <w:rPr>
          <w:rFonts w:ascii="Book Antiqua" w:hAnsi="Book Antiqua"/>
          <w:color w:val="000000" w:themeColor="text1"/>
        </w:rPr>
        <w:t xml:space="preserve"> </w:t>
      </w:r>
    </w:p>
    <w:p w14:paraId="772A0952" w14:textId="77777777" w:rsidR="007917FE" w:rsidRPr="00602E1D" w:rsidRDefault="007917FE" w:rsidP="007917FE">
      <w:pPr>
        <w:pStyle w:val="ListParagraph"/>
        <w:snapToGrid w:val="0"/>
        <w:spacing w:after="120" w:line="276" w:lineRule="auto"/>
        <w:ind w:left="0"/>
        <w:contextualSpacing w:val="0"/>
        <w:jc w:val="both"/>
        <w:rPr>
          <w:rFonts w:ascii="Book Antiqua" w:hAnsi="Book Antiqua"/>
          <w:color w:val="000000" w:themeColor="text1"/>
        </w:rPr>
      </w:pPr>
    </w:p>
    <w:p w14:paraId="00EEE208" w14:textId="5F8F2F91" w:rsidR="00CF534D" w:rsidRPr="00447682" w:rsidRDefault="00CF534D" w:rsidP="00CF534D">
      <w:pPr>
        <w:pStyle w:val="Header"/>
        <w:numPr>
          <w:ilvl w:val="0"/>
          <w:numId w:val="1"/>
        </w:numPr>
        <w:tabs>
          <w:tab w:val="clear" w:pos="4320"/>
          <w:tab w:val="clear" w:pos="8640"/>
        </w:tabs>
        <w:spacing w:after="240"/>
        <w:jc w:val="center"/>
        <w:outlineLvl w:val="0"/>
        <w:rPr>
          <w:rFonts w:ascii="Book Antiqua" w:eastAsia="SimSun" w:hAnsi="Book Antiqua" w:cs="Times New Roman"/>
          <w:b/>
          <w:iCs/>
          <w:caps/>
          <w:color w:val="000000" w:themeColor="text1"/>
          <w:sz w:val="22"/>
          <w:szCs w:val="22"/>
          <w:lang w:eastAsia="ko-KR"/>
        </w:rPr>
      </w:pPr>
      <w:bookmarkStart w:id="5" w:name="_Toc64995276"/>
      <w:r w:rsidRPr="00CF534D">
        <w:rPr>
          <w:rFonts w:ascii="Book Antiqua" w:eastAsia="SimSun" w:hAnsi="Book Antiqua" w:cs="Times New Roman"/>
          <w:b/>
          <w:iCs/>
          <w:caps/>
          <w:color w:val="000000" w:themeColor="text1"/>
          <w:sz w:val="22"/>
          <w:szCs w:val="22"/>
          <w:lang w:eastAsia="ko-KR"/>
        </w:rPr>
        <w:t>ISSUES</w:t>
      </w:r>
      <w:r>
        <w:rPr>
          <w:rFonts w:ascii="Book Antiqua" w:hAnsi="Book Antiqua"/>
          <w:color w:val="000000" w:themeColor="text1"/>
        </w:rPr>
        <w:t xml:space="preserve"> </w:t>
      </w:r>
      <w:r w:rsidRPr="00CF534D">
        <w:rPr>
          <w:rFonts w:ascii="Book Antiqua" w:eastAsia="SimSun" w:hAnsi="Book Antiqua" w:cs="Times New Roman"/>
          <w:b/>
          <w:iCs/>
          <w:caps/>
          <w:color w:val="000000" w:themeColor="text1"/>
          <w:sz w:val="22"/>
          <w:szCs w:val="22"/>
          <w:lang w:eastAsia="ko-KR"/>
        </w:rPr>
        <w:t>for Consideration</w:t>
      </w:r>
      <w:bookmarkEnd w:id="5"/>
      <w:r>
        <w:rPr>
          <w:rFonts w:ascii="Book Antiqua" w:hAnsi="Book Antiqua"/>
          <w:color w:val="000000" w:themeColor="text1"/>
        </w:rPr>
        <w:t xml:space="preserve"> </w:t>
      </w:r>
    </w:p>
    <w:p w14:paraId="1B3EBE87" w14:textId="71615D02" w:rsidR="00CC290E" w:rsidRPr="00CE363D" w:rsidRDefault="00CF534D" w:rsidP="006F5C68">
      <w:pPr>
        <w:pStyle w:val="ListParagraph"/>
        <w:numPr>
          <w:ilvl w:val="0"/>
          <w:numId w:val="2"/>
        </w:numPr>
        <w:snapToGrid w:val="0"/>
        <w:spacing w:after="120" w:line="276" w:lineRule="auto"/>
        <w:ind w:left="0" w:firstLine="0"/>
        <w:contextualSpacing w:val="0"/>
        <w:jc w:val="both"/>
        <w:rPr>
          <w:rFonts w:ascii="Book Antiqua" w:hAnsi="Book Antiqua"/>
          <w:color w:val="000000" w:themeColor="text1"/>
        </w:rPr>
      </w:pPr>
      <w:r w:rsidRPr="00CE363D">
        <w:rPr>
          <w:rFonts w:ascii="Book Antiqua" w:hAnsi="Book Antiqua"/>
          <w:color w:val="000000" w:themeColor="text1"/>
        </w:rPr>
        <w:t xml:space="preserve">The </w:t>
      </w:r>
      <w:r w:rsidR="00703B13">
        <w:rPr>
          <w:rFonts w:ascii="Book Antiqua" w:hAnsi="Book Antiqua"/>
          <w:color w:val="000000" w:themeColor="text1"/>
        </w:rPr>
        <w:t>Meeting may wish to</w:t>
      </w:r>
      <w:r w:rsidR="006F5C68">
        <w:rPr>
          <w:rFonts w:ascii="Book Antiqua" w:hAnsi="Book Antiqua"/>
          <w:color w:val="000000" w:themeColor="text1"/>
        </w:rPr>
        <w:t xml:space="preserve"> exchange </w:t>
      </w:r>
      <w:r w:rsidR="00661B46">
        <w:rPr>
          <w:rFonts w:ascii="Book Antiqua" w:hAnsi="Book Antiqua"/>
          <w:color w:val="000000" w:themeColor="text1"/>
        </w:rPr>
        <w:t xml:space="preserve">initial </w:t>
      </w:r>
      <w:r w:rsidR="006F5C68">
        <w:rPr>
          <w:rFonts w:ascii="Book Antiqua" w:hAnsi="Book Antiqua"/>
          <w:color w:val="000000" w:themeColor="text1"/>
        </w:rPr>
        <w:t xml:space="preserve">views on </w:t>
      </w:r>
      <w:r w:rsidR="001B752B">
        <w:rPr>
          <w:rFonts w:ascii="Book Antiqua" w:hAnsi="Book Antiqua"/>
          <w:color w:val="000000" w:themeColor="text1"/>
        </w:rPr>
        <w:t>the funding modalit</w:t>
      </w:r>
      <w:r w:rsidR="00175298">
        <w:rPr>
          <w:rFonts w:ascii="Book Antiqua" w:hAnsi="Book Antiqua"/>
          <w:color w:val="000000" w:themeColor="text1"/>
        </w:rPr>
        <w:t>ies</w:t>
      </w:r>
      <w:r w:rsidR="001B752B">
        <w:rPr>
          <w:rFonts w:ascii="Book Antiqua" w:hAnsi="Book Antiqua"/>
          <w:color w:val="000000" w:themeColor="text1"/>
        </w:rPr>
        <w:t xml:space="preserve"> and</w:t>
      </w:r>
      <w:r w:rsidR="00703B13">
        <w:rPr>
          <w:rFonts w:ascii="Book Antiqua" w:hAnsi="Book Antiqua"/>
          <w:color w:val="000000" w:themeColor="text1"/>
        </w:rPr>
        <w:t xml:space="preserve"> </w:t>
      </w:r>
      <w:r w:rsidR="00511B90">
        <w:rPr>
          <w:rFonts w:ascii="Book Antiqua" w:hAnsi="Book Antiqua"/>
          <w:color w:val="000000" w:themeColor="text1"/>
        </w:rPr>
        <w:t xml:space="preserve">decide the process for </w:t>
      </w:r>
      <w:r w:rsidR="00D33AC0">
        <w:rPr>
          <w:rFonts w:ascii="Book Antiqua" w:hAnsi="Book Antiqua"/>
          <w:color w:val="000000" w:themeColor="text1"/>
        </w:rPr>
        <w:t xml:space="preserve">further discussion and decision to be made </w:t>
      </w:r>
      <w:r w:rsidR="006F5C68">
        <w:rPr>
          <w:rFonts w:ascii="Book Antiqua" w:hAnsi="Book Antiqua"/>
          <w:color w:val="000000" w:themeColor="text1"/>
        </w:rPr>
        <w:t>at the SOM-25</w:t>
      </w:r>
      <w:r w:rsidR="00C6459E">
        <w:rPr>
          <w:rFonts w:ascii="Book Antiqua" w:hAnsi="Book Antiqua"/>
          <w:color w:val="000000" w:themeColor="text1"/>
        </w:rPr>
        <w:t xml:space="preserve"> in 2021</w:t>
      </w:r>
      <w:r w:rsidR="006F5C68">
        <w:rPr>
          <w:rFonts w:ascii="Book Antiqua" w:hAnsi="Book Antiqua"/>
          <w:color w:val="000000" w:themeColor="text1"/>
        </w:rPr>
        <w:t xml:space="preserve">. </w:t>
      </w:r>
    </w:p>
    <w:p w14:paraId="1E9330BA" w14:textId="77777777" w:rsidR="00423772" w:rsidRPr="00CC290E" w:rsidRDefault="00423772" w:rsidP="00CC290E">
      <w:pPr>
        <w:snapToGrid w:val="0"/>
        <w:spacing w:after="120" w:line="276" w:lineRule="auto"/>
        <w:ind w:left="360"/>
        <w:jc w:val="both"/>
        <w:rPr>
          <w:rFonts w:ascii="Book Antiqua" w:hAnsi="Book Antiqua"/>
          <w:color w:val="000000" w:themeColor="text1"/>
        </w:rPr>
      </w:pPr>
    </w:p>
    <w:p w14:paraId="19A74975" w14:textId="5940F113" w:rsidR="00812E1A" w:rsidRDefault="00654F2D" w:rsidP="00654F2D">
      <w:pPr>
        <w:jc w:val="center"/>
        <w:rPr>
          <w:b/>
          <w:bCs/>
        </w:rPr>
      </w:pPr>
      <w:r>
        <w:rPr>
          <w:b/>
          <w:bCs/>
        </w:rPr>
        <w:t>…..</w:t>
      </w:r>
    </w:p>
    <w:p w14:paraId="622C5189" w14:textId="38FE20A7" w:rsidR="00C45C15" w:rsidRPr="005B191B" w:rsidRDefault="00C45C15" w:rsidP="00E84CD3">
      <w:pPr>
        <w:rPr>
          <w:b/>
          <w:bCs/>
        </w:rPr>
      </w:pPr>
    </w:p>
    <w:sectPr w:rsidR="00C45C15" w:rsidRPr="005B191B" w:rsidSect="00841D05">
      <w:footerReference w:type="default" r:id="rId17"/>
      <w:pgSz w:w="12240" w:h="15840"/>
      <w:pgMar w:top="1361" w:right="1440" w:bottom="136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F3307" w14:textId="77777777" w:rsidR="0060191C" w:rsidRDefault="0060191C" w:rsidP="000F5A86">
      <w:pPr>
        <w:spacing w:after="0" w:line="240" w:lineRule="auto"/>
      </w:pPr>
      <w:r>
        <w:separator/>
      </w:r>
    </w:p>
  </w:endnote>
  <w:endnote w:type="continuationSeparator" w:id="0">
    <w:p w14:paraId="052597A2" w14:textId="77777777" w:rsidR="0060191C" w:rsidRDefault="0060191C" w:rsidP="000F5A86">
      <w:pPr>
        <w:spacing w:after="0" w:line="240" w:lineRule="auto"/>
      </w:pPr>
      <w:r>
        <w:continuationSeparator/>
      </w:r>
    </w:p>
  </w:endnote>
  <w:endnote w:type="continuationNotice" w:id="1">
    <w:p w14:paraId="6AC7D07C" w14:textId="77777777" w:rsidR="0060191C" w:rsidRDefault="00601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048101"/>
      <w:docPartObj>
        <w:docPartGallery w:val="Page Numbers (Bottom of Page)"/>
        <w:docPartUnique/>
      </w:docPartObj>
    </w:sdtPr>
    <w:sdtEndPr>
      <w:rPr>
        <w:noProof/>
      </w:rPr>
    </w:sdtEndPr>
    <w:sdtContent>
      <w:p w14:paraId="050BDF95" w14:textId="4355BF92" w:rsidR="00661B46" w:rsidRDefault="00661B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4786B9" w14:textId="77777777" w:rsidR="00661B46" w:rsidRDefault="00661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DA664" w14:textId="77777777" w:rsidR="0060191C" w:rsidRDefault="0060191C" w:rsidP="000F5A86">
      <w:pPr>
        <w:spacing w:after="0" w:line="240" w:lineRule="auto"/>
      </w:pPr>
      <w:r>
        <w:separator/>
      </w:r>
    </w:p>
  </w:footnote>
  <w:footnote w:type="continuationSeparator" w:id="0">
    <w:p w14:paraId="303B026B" w14:textId="77777777" w:rsidR="0060191C" w:rsidRDefault="0060191C" w:rsidP="000F5A86">
      <w:pPr>
        <w:spacing w:after="0" w:line="240" w:lineRule="auto"/>
      </w:pPr>
      <w:r>
        <w:continuationSeparator/>
      </w:r>
    </w:p>
  </w:footnote>
  <w:footnote w:type="continuationNotice" w:id="1">
    <w:p w14:paraId="29AAB32E" w14:textId="77777777" w:rsidR="0060191C" w:rsidRDefault="0060191C">
      <w:pPr>
        <w:spacing w:after="0" w:line="240" w:lineRule="auto"/>
      </w:pPr>
    </w:p>
  </w:footnote>
  <w:footnote w:id="2">
    <w:p w14:paraId="74AE482E" w14:textId="6A91E1B0" w:rsidR="00661B46" w:rsidRPr="007D18FC" w:rsidRDefault="00661B46" w:rsidP="00FF15D4">
      <w:pPr>
        <w:pStyle w:val="FootnoteText"/>
        <w:spacing w:line="180" w:lineRule="exact"/>
        <w:jc w:val="left"/>
        <w:rPr>
          <w:rFonts w:ascii="Book Antiqua" w:hAnsi="Book Antiqua" w:cs="Arial"/>
          <w:szCs w:val="18"/>
        </w:rPr>
      </w:pPr>
      <w:r w:rsidRPr="007D18FC">
        <w:rPr>
          <w:rStyle w:val="FootnoteReference"/>
          <w:rFonts w:ascii="Book Antiqua" w:hAnsi="Book Antiqua" w:cs="Arial"/>
          <w:szCs w:val="18"/>
        </w:rPr>
        <w:footnoteRef/>
      </w:r>
      <w:r w:rsidRPr="007D18FC">
        <w:rPr>
          <w:rFonts w:ascii="Book Antiqua" w:hAnsi="Book Antiqua" w:cs="Arial"/>
          <w:szCs w:val="18"/>
        </w:rPr>
        <w:t xml:space="preserve"> </w:t>
      </w:r>
      <w:hyperlink r:id="rId1" w:history="1">
        <w:r w:rsidR="00D2216F" w:rsidRPr="00EF2050">
          <w:rPr>
            <w:rStyle w:val="Hyperlink"/>
            <w:rFonts w:ascii="Book Antiqua" w:hAnsi="Book Antiqua" w:cs="Arial"/>
            <w:szCs w:val="18"/>
          </w:rPr>
          <w:t>http://www.neaspec.org/sites/default/files//7.%20SOM24_Evaluation.pdf</w:t>
        </w:r>
      </w:hyperlink>
      <w:r w:rsidR="00D2216F">
        <w:rPr>
          <w:rFonts w:ascii="Book Antiqua" w:hAnsi="Book Antiqua" w:cs="Arial"/>
          <w:szCs w:val="18"/>
        </w:rPr>
        <w:t xml:space="preserve"> </w:t>
      </w:r>
    </w:p>
  </w:footnote>
  <w:footnote w:id="3">
    <w:p w14:paraId="0346DFB7" w14:textId="11842D86" w:rsidR="00661B46" w:rsidRPr="00D5037C" w:rsidRDefault="00661B46" w:rsidP="00FF15D4">
      <w:pPr>
        <w:pStyle w:val="FootnoteText"/>
        <w:spacing w:line="180" w:lineRule="exact"/>
        <w:rPr>
          <w:rFonts w:eastAsiaTheme="minorEastAsia"/>
          <w:lang w:eastAsia="zh-CN"/>
        </w:rPr>
      </w:pPr>
      <w:r>
        <w:rPr>
          <w:rStyle w:val="FootnoteReference"/>
        </w:rPr>
        <w:footnoteRef/>
      </w:r>
      <w:r>
        <w:t xml:space="preserve"> </w:t>
      </w:r>
      <w:r w:rsidRPr="00FF15D4">
        <w:rPr>
          <w:rFonts w:ascii="Book Antiqua" w:hAnsi="Book Antiqua" w:cs="Arial"/>
          <w:szCs w:val="18"/>
        </w:rPr>
        <w:t>Article 7.2 of the Framework for North-East Asian Subregional Programme for Environmental Cooperation (SOM-3, 1996)</w:t>
      </w:r>
      <w:r w:rsidR="00D2216F">
        <w:rPr>
          <w:rFonts w:ascii="Book Antiqua" w:hAnsi="Book Antiqua" w:cs="Arial"/>
          <w:szCs w:val="18"/>
        </w:rPr>
        <w:t xml:space="preserve">, </w:t>
      </w:r>
      <w:hyperlink r:id="rId2" w:history="1">
        <w:r w:rsidR="00D2216F" w:rsidRPr="00EF2050">
          <w:rPr>
            <w:rStyle w:val="Hyperlink"/>
            <w:rFonts w:ascii="Book Antiqua" w:hAnsi="Book Antiqua" w:cs="Arial"/>
            <w:szCs w:val="18"/>
          </w:rPr>
          <w:t>http://neaspec.org/sites/default/files/NEASPEC%20Framework.pdf</w:t>
        </w:r>
      </w:hyperlink>
      <w:r w:rsidR="00D2216F">
        <w:rPr>
          <w:rFonts w:ascii="Book Antiqua" w:hAnsi="Book Antiqua" w:cs="Arial"/>
          <w:szCs w:val="18"/>
        </w:rPr>
        <w:t xml:space="preserve"> </w:t>
      </w:r>
    </w:p>
  </w:footnote>
  <w:footnote w:id="4">
    <w:p w14:paraId="53B63AFF" w14:textId="130AE2D2" w:rsidR="00D2216F" w:rsidRPr="00D2216F" w:rsidRDefault="00D2216F" w:rsidP="00D2216F">
      <w:pPr>
        <w:pStyle w:val="FootnoteText"/>
        <w:spacing w:line="240" w:lineRule="auto"/>
        <w:rPr>
          <w:rFonts w:ascii="Book Antiqua" w:hAnsi="Book Antiqua"/>
        </w:rPr>
      </w:pPr>
      <w:r w:rsidRPr="00D2216F">
        <w:rPr>
          <w:rStyle w:val="FootnoteReference"/>
          <w:rFonts w:ascii="Book Antiqua" w:hAnsi="Book Antiqua"/>
        </w:rPr>
        <w:footnoteRef/>
      </w:r>
      <w:r w:rsidRPr="00D2216F">
        <w:rPr>
          <w:rFonts w:ascii="Book Antiqua" w:hAnsi="Book Antiqua"/>
        </w:rPr>
        <w:t xml:space="preserve"> Paragraph 19, NEASPEC/SOM(24)/7, </w:t>
      </w:r>
      <w:hyperlink r:id="rId3" w:history="1">
        <w:r w:rsidRPr="00EF2050">
          <w:rPr>
            <w:rStyle w:val="Hyperlink"/>
            <w:rFonts w:ascii="Book Antiqua" w:hAnsi="Book Antiqua"/>
          </w:rPr>
          <w:t>http://www.neaspec.org/sites/default/files//7.%20SOM24_Evaluation.pdf</w:t>
        </w:r>
      </w:hyperlink>
      <w:r>
        <w:rPr>
          <w:rFonts w:ascii="Book Antiqua" w:hAnsi="Book Antiqua"/>
        </w:rPr>
        <w:t xml:space="preserve"> </w:t>
      </w:r>
    </w:p>
  </w:footnote>
  <w:footnote w:id="5">
    <w:p w14:paraId="0A49F61D" w14:textId="07710FB8" w:rsidR="00661B46" w:rsidRPr="007D18FC" w:rsidRDefault="00661B46" w:rsidP="00FF15D4">
      <w:pPr>
        <w:pStyle w:val="FootnoteText"/>
        <w:spacing w:line="180" w:lineRule="exact"/>
        <w:jc w:val="left"/>
        <w:rPr>
          <w:rFonts w:ascii="Book Antiqua" w:hAnsi="Book Antiqua" w:cs="Arial"/>
          <w:szCs w:val="18"/>
        </w:rPr>
      </w:pPr>
      <w:r w:rsidRPr="007D18FC">
        <w:rPr>
          <w:rStyle w:val="FootnoteReference"/>
          <w:rFonts w:ascii="Book Antiqua" w:hAnsi="Book Antiqua" w:cs="Arial"/>
          <w:szCs w:val="18"/>
        </w:rPr>
        <w:footnoteRef/>
      </w:r>
      <w:r w:rsidRPr="007D18FC">
        <w:rPr>
          <w:rFonts w:ascii="Book Antiqua" w:hAnsi="Book Antiqua" w:cs="Arial"/>
          <w:szCs w:val="18"/>
        </w:rPr>
        <w:t xml:space="preserve"> </w:t>
      </w:r>
      <w:hyperlink r:id="rId4" w:history="1">
        <w:r w:rsidRPr="007D18FC">
          <w:rPr>
            <w:rStyle w:val="Hyperlink"/>
            <w:rFonts w:ascii="Book Antiqua" w:hAnsi="Book Antiqua" w:cs="Arial"/>
            <w:szCs w:val="18"/>
          </w:rPr>
          <w:t>http://www.neaspec.org/sites/default/files//NEASPEC%20SOM-24%20Meeting%20Report_Final_0.pdf</w:t>
        </w:r>
      </w:hyperlink>
      <w:r w:rsidRPr="007D18FC">
        <w:rPr>
          <w:rFonts w:ascii="Book Antiqua" w:hAnsi="Book Antiqua" w:cs="Arial"/>
          <w:szCs w:val="18"/>
        </w:rPr>
        <w:t xml:space="preserve"> </w:t>
      </w:r>
    </w:p>
  </w:footnote>
  <w:footnote w:id="6">
    <w:p w14:paraId="39260F91" w14:textId="6B5EE107" w:rsidR="00661B46" w:rsidRPr="00422295" w:rsidRDefault="00661B46" w:rsidP="00143DC7">
      <w:pPr>
        <w:pStyle w:val="FootnoteText"/>
        <w:spacing w:line="240" w:lineRule="auto"/>
        <w:jc w:val="left"/>
        <w:rPr>
          <w:rFonts w:ascii="Book Antiqua" w:hAnsi="Book Antiqua"/>
          <w:szCs w:val="18"/>
        </w:rPr>
      </w:pPr>
      <w:r w:rsidRPr="00422295">
        <w:rPr>
          <w:rStyle w:val="FootnoteReference"/>
          <w:rFonts w:ascii="Book Antiqua" w:hAnsi="Book Antiqua"/>
          <w:szCs w:val="18"/>
        </w:rPr>
        <w:footnoteRef/>
      </w:r>
      <w:r w:rsidRPr="00422295">
        <w:rPr>
          <w:rFonts w:ascii="Book Antiqua" w:hAnsi="Book Antiqua"/>
          <w:szCs w:val="18"/>
        </w:rPr>
        <w:t xml:space="preserve"> Annex B. Report of the 24</w:t>
      </w:r>
      <w:r w:rsidRPr="00422295">
        <w:rPr>
          <w:rFonts w:ascii="Book Antiqua" w:hAnsi="Book Antiqua"/>
          <w:szCs w:val="18"/>
          <w:vertAlign w:val="superscript"/>
        </w:rPr>
        <w:t>th</w:t>
      </w:r>
      <w:r w:rsidRPr="00422295">
        <w:rPr>
          <w:rFonts w:ascii="Book Antiqua" w:hAnsi="Book Antiqua"/>
          <w:szCs w:val="18"/>
        </w:rPr>
        <w:t xml:space="preserve"> Intergovernmental Meeting of NOWPAP, available at https://wedocs.unep.org/bitstream/handle/20.500.11822/31146/IGM24_ED_2020.pdf?sequence=1</w:t>
      </w:r>
    </w:p>
  </w:footnote>
  <w:footnote w:id="7">
    <w:p w14:paraId="537FF269" w14:textId="30451221" w:rsidR="00661B46" w:rsidRPr="00FB0BC9" w:rsidRDefault="00661B46" w:rsidP="00C016C2">
      <w:pPr>
        <w:pStyle w:val="FootnoteText"/>
        <w:spacing w:line="240" w:lineRule="auto"/>
        <w:rPr>
          <w:rFonts w:ascii="Book Antiqua" w:hAnsi="Book Antiqua"/>
          <w:szCs w:val="18"/>
          <w:lang w:eastAsia="ko-KR"/>
        </w:rPr>
      </w:pPr>
      <w:r w:rsidRPr="00FB0BC9">
        <w:rPr>
          <w:rStyle w:val="FootnoteReference"/>
          <w:rFonts w:ascii="Book Antiqua" w:hAnsi="Book Antiqua"/>
          <w:szCs w:val="18"/>
        </w:rPr>
        <w:footnoteRef/>
      </w:r>
      <w:r w:rsidRPr="00FB0BC9">
        <w:rPr>
          <w:rFonts w:ascii="Book Antiqua" w:hAnsi="Book Antiqua"/>
          <w:szCs w:val="18"/>
        </w:rPr>
        <w:t xml:space="preserve"> </w:t>
      </w:r>
      <w:r w:rsidRPr="00FB0BC9">
        <w:rPr>
          <w:rFonts w:ascii="Book Antiqua" w:hAnsi="Book Antiqua"/>
          <w:szCs w:val="18"/>
          <w:lang w:eastAsia="ko-KR"/>
        </w:rPr>
        <w:t>A combination of weighted national capacity reflecting GNP per capita and the UN formula allocated the share of national contributions between 2.8 and 25 per cent at the 7</w:t>
      </w:r>
      <w:r w:rsidRPr="00FB0BC9">
        <w:rPr>
          <w:rFonts w:ascii="Book Antiqua" w:hAnsi="Book Antiqua"/>
          <w:szCs w:val="18"/>
          <w:vertAlign w:val="superscript"/>
          <w:lang w:eastAsia="ko-KR"/>
        </w:rPr>
        <w:t>th</w:t>
      </w:r>
      <w:r w:rsidRPr="00FB0BC9">
        <w:rPr>
          <w:rFonts w:ascii="Book Antiqua" w:hAnsi="Book Antiqua"/>
          <w:szCs w:val="18"/>
          <w:lang w:eastAsia="ko-KR"/>
        </w:rPr>
        <w:t xml:space="preserve"> Governing Council meeting in 1998. </w:t>
      </w:r>
    </w:p>
  </w:footnote>
  <w:footnote w:id="8">
    <w:p w14:paraId="1A37F26A" w14:textId="65994AA9" w:rsidR="00661B46" w:rsidRPr="00FB0BC9" w:rsidRDefault="00661B46" w:rsidP="00C016C2">
      <w:pPr>
        <w:pStyle w:val="FootnoteText"/>
        <w:spacing w:line="240" w:lineRule="auto"/>
        <w:rPr>
          <w:rFonts w:ascii="Book Antiqua" w:hAnsi="Book Antiqua"/>
          <w:szCs w:val="18"/>
        </w:rPr>
      </w:pPr>
      <w:r w:rsidRPr="00FB0BC9">
        <w:rPr>
          <w:rFonts w:ascii="Book Antiqua" w:hAnsi="Book Antiqua"/>
          <w:szCs w:val="18"/>
          <w:vertAlign w:val="superscript"/>
        </w:rPr>
        <w:footnoteRef/>
      </w:r>
      <w:r w:rsidRPr="00FB0BC9">
        <w:rPr>
          <w:rFonts w:ascii="Book Antiqua" w:hAnsi="Book Antiqua"/>
          <w:szCs w:val="18"/>
          <w:vertAlign w:val="superscript"/>
        </w:rPr>
        <w:t xml:space="preserve"> </w:t>
      </w:r>
      <w:r w:rsidRPr="00FB0BC9">
        <w:rPr>
          <w:rFonts w:ascii="Book Antiqua" w:hAnsi="Book Antiqua"/>
          <w:szCs w:val="18"/>
        </w:rPr>
        <w:t>Pacific members include American Samoa, Cook Islands, Federated States of Micronesia, Fiji, French Polynesia, Guam, Kiribati, Marshall Islands, Nauru, New Caledonia, Niue, Northern Mariana Islands, Palau, Papua New Guinea, Samoa, Solomon Islands, Tokelau, Tonga, Tuvalu, Vanuatu, and Wallis and Futuna.</w:t>
      </w:r>
    </w:p>
  </w:footnote>
  <w:footnote w:id="9">
    <w:p w14:paraId="06B7CE9D" w14:textId="47B307FF" w:rsidR="00661B46" w:rsidRPr="00C016C2" w:rsidRDefault="00661B46" w:rsidP="00C016C2">
      <w:pPr>
        <w:pStyle w:val="FootnoteText"/>
        <w:spacing w:line="240" w:lineRule="auto"/>
        <w:rPr>
          <w:rFonts w:ascii="Calibri" w:hAnsi="Calibri"/>
          <w:lang w:eastAsia="ko-KR"/>
        </w:rPr>
      </w:pPr>
      <w:r w:rsidRPr="00FB0BC9">
        <w:rPr>
          <w:rFonts w:ascii="Book Antiqua" w:hAnsi="Book Antiqua"/>
          <w:szCs w:val="18"/>
          <w:vertAlign w:val="superscript"/>
        </w:rPr>
        <w:footnoteRef/>
      </w:r>
      <w:r w:rsidRPr="00FB0BC9">
        <w:rPr>
          <w:rFonts w:ascii="Book Antiqua" w:hAnsi="Book Antiqua"/>
          <w:szCs w:val="18"/>
          <w:vertAlign w:val="superscript"/>
        </w:rPr>
        <w:t xml:space="preserve"> </w:t>
      </w:r>
      <w:r w:rsidRPr="00FB0BC9">
        <w:rPr>
          <w:rFonts w:ascii="Book Antiqua" w:hAnsi="Book Antiqua"/>
          <w:szCs w:val="18"/>
        </w:rPr>
        <w:t>Metropolitan</w:t>
      </w:r>
      <w:r w:rsidRPr="00422295">
        <w:rPr>
          <w:rFonts w:ascii="Book Antiqua" w:hAnsi="Book Antiqua"/>
          <w:szCs w:val="18"/>
        </w:rPr>
        <w:t xml:space="preserve"> members include Australia, New Zealand, United Kingdom, United States of America, and France.</w:t>
      </w:r>
      <w:r w:rsidRPr="00C016C2">
        <w:rPr>
          <w:rFonts w:ascii="Calibri" w:hAnsi="Calibri"/>
          <w:lang w:eastAsia="ko-KR"/>
        </w:rPr>
        <w:t xml:space="preserve"> </w:t>
      </w:r>
    </w:p>
  </w:footnote>
  <w:footnote w:id="10">
    <w:p w14:paraId="01FFE6B3" w14:textId="59301057" w:rsidR="00661B46" w:rsidRPr="000F6675" w:rsidRDefault="00661B46" w:rsidP="00143DC7">
      <w:pPr>
        <w:pStyle w:val="FootnoteText"/>
        <w:spacing w:line="240" w:lineRule="auto"/>
        <w:jc w:val="left"/>
        <w:rPr>
          <w:rFonts w:ascii="Book Antiqua" w:hAnsi="Book Antiqua"/>
          <w:color w:val="0000FF"/>
          <w:szCs w:val="18"/>
          <w:u w:val="single"/>
        </w:rPr>
      </w:pPr>
      <w:r w:rsidRPr="000F6675">
        <w:rPr>
          <w:rStyle w:val="FootnoteReference"/>
          <w:rFonts w:ascii="Book Antiqua" w:hAnsi="Book Antiqua"/>
          <w:szCs w:val="18"/>
        </w:rPr>
        <w:footnoteRef/>
      </w:r>
      <w:r w:rsidRPr="000F6675">
        <w:rPr>
          <w:rFonts w:ascii="Book Antiqua" w:hAnsi="Book Antiqua"/>
          <w:szCs w:val="18"/>
        </w:rPr>
        <w:t xml:space="preserve"> </w:t>
      </w:r>
      <w:r w:rsidRPr="000F6675">
        <w:rPr>
          <w:rFonts w:ascii="Book Antiqua" w:hAnsi="Book Antiqua"/>
          <w:szCs w:val="18"/>
          <w:lang w:eastAsia="ko-KR"/>
        </w:rPr>
        <w:t xml:space="preserve">See more information available at </w:t>
      </w:r>
      <w:hyperlink r:id="rId5" w:history="1">
        <w:r w:rsidRPr="000F6675">
          <w:rPr>
            <w:rStyle w:val="Hyperlink"/>
            <w:rFonts w:ascii="Book Antiqua" w:hAnsi="Book Antiqua"/>
            <w:szCs w:val="18"/>
          </w:rPr>
          <w:t>http://www.neaspec.org/sites/default/files//EGM_Secretariat%20Paper%20on%20Institutional%20Mechanism_0.pdf</w:t>
        </w:r>
      </w:hyperlink>
      <w:r w:rsidRPr="000F6675">
        <w:rPr>
          <w:rStyle w:val="Hyperlink"/>
          <w:rFonts w:ascii="Book Antiqua" w:hAnsi="Book Antiqua"/>
          <w:szCs w:val="18"/>
        </w:rPr>
        <w:t xml:space="preserve">. </w:t>
      </w:r>
      <w:r w:rsidRPr="000F6675">
        <w:rPr>
          <w:rFonts w:ascii="Book Antiqua" w:hAnsi="Book Antiqua"/>
          <w:szCs w:val="18"/>
          <w:lang w:eastAsia="ko-KR"/>
        </w:rPr>
        <w:t xml:space="preserve">Also, see pp 42-59 of the report on NEASPEC challenges and opportunities at </w:t>
      </w:r>
      <w:hyperlink r:id="rId6" w:history="1">
        <w:r w:rsidRPr="000F6675">
          <w:rPr>
            <w:rStyle w:val="Hyperlink"/>
            <w:rFonts w:ascii="Book Antiqua" w:hAnsi="Book Antiqua"/>
            <w:szCs w:val="18"/>
            <w:lang w:eastAsia="ko-KR"/>
          </w:rPr>
          <w:t>http://www.neaspec.org/sites/default/files/SOM17_Institutional%20arrangement_Annex.pdf</w:t>
        </w:r>
      </w:hyperlink>
      <w:r w:rsidRPr="000F6675">
        <w:rPr>
          <w:rFonts w:ascii="Book Antiqua" w:hAnsi="Book Antiqua"/>
          <w:szCs w:val="18"/>
          <w:lang w:eastAsia="ko-K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D6B7A"/>
    <w:multiLevelType w:val="hybridMultilevel"/>
    <w:tmpl w:val="EEFCF26A"/>
    <w:lvl w:ilvl="0" w:tplc="67FA47BA">
      <w:start w:val="1"/>
      <w:numFmt w:val="upperLetter"/>
      <w:pStyle w:val="headerforprojectdocument"/>
      <w:lvlText w:val="%1."/>
      <w:lvlJc w:val="left"/>
      <w:pPr>
        <w:ind w:left="360" w:hanging="360"/>
      </w:pPr>
      <w:rPr>
        <w:rFonts w:ascii="Book Antiqua" w:hAnsi="Book Antiqu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D1BC1"/>
    <w:multiLevelType w:val="hybridMultilevel"/>
    <w:tmpl w:val="EEE2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90D68"/>
    <w:multiLevelType w:val="hybridMultilevel"/>
    <w:tmpl w:val="E49829A0"/>
    <w:lvl w:ilvl="0" w:tplc="B1FEE58C">
      <w:start w:val="1"/>
      <w:numFmt w:val="upp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B397C"/>
    <w:multiLevelType w:val="hybridMultilevel"/>
    <w:tmpl w:val="736089E0"/>
    <w:lvl w:ilvl="0" w:tplc="0276D212">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35C5C"/>
    <w:multiLevelType w:val="hybridMultilevel"/>
    <w:tmpl w:val="137E0FE8"/>
    <w:lvl w:ilvl="0" w:tplc="D578F9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C55108"/>
    <w:multiLevelType w:val="hybridMultilevel"/>
    <w:tmpl w:val="3196B68C"/>
    <w:lvl w:ilvl="0" w:tplc="DAB25C1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6B30F3"/>
    <w:multiLevelType w:val="hybridMultilevel"/>
    <w:tmpl w:val="070C9CCA"/>
    <w:lvl w:ilvl="0" w:tplc="BFAA6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A30E9"/>
    <w:multiLevelType w:val="hybridMultilevel"/>
    <w:tmpl w:val="E49829A0"/>
    <w:lvl w:ilvl="0" w:tplc="B1FEE58C">
      <w:start w:val="1"/>
      <w:numFmt w:val="upp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511D5"/>
    <w:multiLevelType w:val="hybridMultilevel"/>
    <w:tmpl w:val="A2A8958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2FD5A2D"/>
    <w:multiLevelType w:val="hybridMultilevel"/>
    <w:tmpl w:val="D456A93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B805217"/>
    <w:multiLevelType w:val="hybridMultilevel"/>
    <w:tmpl w:val="7F5A24C2"/>
    <w:lvl w:ilvl="0" w:tplc="0A34CB16">
      <w:start w:val="3"/>
      <w:numFmt w:val="bullet"/>
      <w:lvlText w:val=""/>
      <w:lvlJc w:val="left"/>
      <w:pPr>
        <w:ind w:left="720" w:hanging="360"/>
      </w:pPr>
      <w:rPr>
        <w:rFonts w:ascii="Symbol" w:eastAsiaTheme="minorEastAsia" w:hAnsi="Symbol" w:cs="Calibri" w:hint="default"/>
        <w:b w:val="0"/>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44298"/>
    <w:multiLevelType w:val="hybridMultilevel"/>
    <w:tmpl w:val="D9541204"/>
    <w:lvl w:ilvl="0" w:tplc="6DA26D86">
      <w:start w:val="1"/>
      <w:numFmt w:val="decimal"/>
      <w:lvlText w:val="%1."/>
      <w:lvlJc w:val="left"/>
      <w:pPr>
        <w:ind w:left="360" w:hanging="360"/>
      </w:pPr>
      <w:rPr>
        <w:rFonts w:ascii="Book Antiqua" w:hAnsi="Book Antiqua" w:hint="default"/>
        <w:b w:val="0"/>
        <w:bCs/>
        <w:sz w:val="22"/>
        <w:szCs w:val="22"/>
      </w:rPr>
    </w:lvl>
    <w:lvl w:ilvl="1" w:tplc="FB302AEE">
      <w:start w:val="1"/>
      <w:numFmt w:val="lowerLetter"/>
      <w:lvlText w:val="(%2)"/>
      <w:lvlJc w:val="left"/>
      <w:pPr>
        <w:ind w:left="1080" w:hanging="360"/>
      </w:pPr>
      <w:rPr>
        <w:rFonts w:cs="Times New Roman" w:hint="default"/>
      </w:rPr>
    </w:lvl>
    <w:lvl w:ilvl="2" w:tplc="FA96D624">
      <w:numFmt w:val="bullet"/>
      <w:lvlText w:val=""/>
      <w:lvlJc w:val="left"/>
      <w:pPr>
        <w:ind w:left="1980" w:hanging="360"/>
      </w:pPr>
      <w:rPr>
        <w:rFonts w:ascii="Symbol" w:eastAsia="Times New Roman" w:hAnsi="Symbol" w:cs="Times New Roman" w:hint="default"/>
      </w:rPr>
    </w:lvl>
    <w:lvl w:ilvl="3" w:tplc="99ACE9B4">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0"/>
  </w:num>
  <w:num w:numId="4">
    <w:abstractNumId w:val="6"/>
  </w:num>
  <w:num w:numId="5">
    <w:abstractNumId w:val="3"/>
  </w:num>
  <w:num w:numId="6">
    <w:abstractNumId w:val="10"/>
  </w:num>
  <w:num w:numId="7">
    <w:abstractNumId w:val="1"/>
  </w:num>
  <w:num w:numId="8">
    <w:abstractNumId w:val="2"/>
  </w:num>
  <w:num w:numId="9">
    <w:abstractNumId w:val="8"/>
  </w:num>
  <w:num w:numId="10">
    <w:abstractNumId w:val="9"/>
  </w:num>
  <w:num w:numId="11">
    <w:abstractNumId w:val="5"/>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B0"/>
    <w:rsid w:val="00001CF9"/>
    <w:rsid w:val="00001EDF"/>
    <w:rsid w:val="000038EF"/>
    <w:rsid w:val="00007311"/>
    <w:rsid w:val="0001074D"/>
    <w:rsid w:val="00010797"/>
    <w:rsid w:val="00010F08"/>
    <w:rsid w:val="000112E4"/>
    <w:rsid w:val="0001199A"/>
    <w:rsid w:val="00011D5E"/>
    <w:rsid w:val="00012127"/>
    <w:rsid w:val="00012F44"/>
    <w:rsid w:val="000146A5"/>
    <w:rsid w:val="00014990"/>
    <w:rsid w:val="00015C08"/>
    <w:rsid w:val="00016D7C"/>
    <w:rsid w:val="00017C5F"/>
    <w:rsid w:val="00017E9D"/>
    <w:rsid w:val="00020D20"/>
    <w:rsid w:val="00022B80"/>
    <w:rsid w:val="00025623"/>
    <w:rsid w:val="0002586E"/>
    <w:rsid w:val="00025A02"/>
    <w:rsid w:val="000260D7"/>
    <w:rsid w:val="0002760A"/>
    <w:rsid w:val="00027E8E"/>
    <w:rsid w:val="000300EA"/>
    <w:rsid w:val="000326CB"/>
    <w:rsid w:val="00032970"/>
    <w:rsid w:val="00034DED"/>
    <w:rsid w:val="00035FA6"/>
    <w:rsid w:val="000373CB"/>
    <w:rsid w:val="0004063F"/>
    <w:rsid w:val="00040AB2"/>
    <w:rsid w:val="00040E62"/>
    <w:rsid w:val="00040F76"/>
    <w:rsid w:val="000413A3"/>
    <w:rsid w:val="00042B6D"/>
    <w:rsid w:val="000440A2"/>
    <w:rsid w:val="0004492E"/>
    <w:rsid w:val="000449BC"/>
    <w:rsid w:val="0004516D"/>
    <w:rsid w:val="0004676E"/>
    <w:rsid w:val="00046A32"/>
    <w:rsid w:val="00050AC8"/>
    <w:rsid w:val="00050C7C"/>
    <w:rsid w:val="0005101A"/>
    <w:rsid w:val="000525C8"/>
    <w:rsid w:val="00053CDB"/>
    <w:rsid w:val="0005505A"/>
    <w:rsid w:val="00060561"/>
    <w:rsid w:val="0006183E"/>
    <w:rsid w:val="00062978"/>
    <w:rsid w:val="000639BA"/>
    <w:rsid w:val="000659C4"/>
    <w:rsid w:val="0007183A"/>
    <w:rsid w:val="00071A5B"/>
    <w:rsid w:val="000749C9"/>
    <w:rsid w:val="000762EB"/>
    <w:rsid w:val="000775F7"/>
    <w:rsid w:val="00080C3A"/>
    <w:rsid w:val="00081FDA"/>
    <w:rsid w:val="000824CB"/>
    <w:rsid w:val="00082C41"/>
    <w:rsid w:val="00083A68"/>
    <w:rsid w:val="00084971"/>
    <w:rsid w:val="0008634D"/>
    <w:rsid w:val="00086B4C"/>
    <w:rsid w:val="00086CDE"/>
    <w:rsid w:val="00091A41"/>
    <w:rsid w:val="00091E27"/>
    <w:rsid w:val="00092D6C"/>
    <w:rsid w:val="00092E03"/>
    <w:rsid w:val="0009440A"/>
    <w:rsid w:val="00095A03"/>
    <w:rsid w:val="00096552"/>
    <w:rsid w:val="00097F3A"/>
    <w:rsid w:val="000A21FA"/>
    <w:rsid w:val="000A27FB"/>
    <w:rsid w:val="000A3164"/>
    <w:rsid w:val="000A39A6"/>
    <w:rsid w:val="000A3A6A"/>
    <w:rsid w:val="000A59AD"/>
    <w:rsid w:val="000A5E1D"/>
    <w:rsid w:val="000A6AC0"/>
    <w:rsid w:val="000A6E87"/>
    <w:rsid w:val="000A76DA"/>
    <w:rsid w:val="000B0514"/>
    <w:rsid w:val="000B12CC"/>
    <w:rsid w:val="000B16AB"/>
    <w:rsid w:val="000B1E3C"/>
    <w:rsid w:val="000B257A"/>
    <w:rsid w:val="000B425A"/>
    <w:rsid w:val="000B443A"/>
    <w:rsid w:val="000B4E48"/>
    <w:rsid w:val="000B7DA4"/>
    <w:rsid w:val="000C2185"/>
    <w:rsid w:val="000C2FE1"/>
    <w:rsid w:val="000C3282"/>
    <w:rsid w:val="000C32F1"/>
    <w:rsid w:val="000C3EFA"/>
    <w:rsid w:val="000C533C"/>
    <w:rsid w:val="000C58E8"/>
    <w:rsid w:val="000C75F5"/>
    <w:rsid w:val="000D0BBA"/>
    <w:rsid w:val="000D236A"/>
    <w:rsid w:val="000D4E65"/>
    <w:rsid w:val="000D58E5"/>
    <w:rsid w:val="000D5C99"/>
    <w:rsid w:val="000D6759"/>
    <w:rsid w:val="000E06F4"/>
    <w:rsid w:val="000E0860"/>
    <w:rsid w:val="000E0F22"/>
    <w:rsid w:val="000E186E"/>
    <w:rsid w:val="000E2169"/>
    <w:rsid w:val="000E26F9"/>
    <w:rsid w:val="000E329B"/>
    <w:rsid w:val="000E4AF8"/>
    <w:rsid w:val="000E613F"/>
    <w:rsid w:val="000E67B4"/>
    <w:rsid w:val="000F05A9"/>
    <w:rsid w:val="000F0C29"/>
    <w:rsid w:val="000F1286"/>
    <w:rsid w:val="000F2764"/>
    <w:rsid w:val="000F2EA9"/>
    <w:rsid w:val="000F3A8D"/>
    <w:rsid w:val="000F4B2E"/>
    <w:rsid w:val="000F4E64"/>
    <w:rsid w:val="000F5A86"/>
    <w:rsid w:val="000F660C"/>
    <w:rsid w:val="000F6675"/>
    <w:rsid w:val="000F6D8B"/>
    <w:rsid w:val="000F6F0A"/>
    <w:rsid w:val="0010227E"/>
    <w:rsid w:val="001022B9"/>
    <w:rsid w:val="00103BAE"/>
    <w:rsid w:val="0010414C"/>
    <w:rsid w:val="00105346"/>
    <w:rsid w:val="00111D17"/>
    <w:rsid w:val="00112B7E"/>
    <w:rsid w:val="001137FD"/>
    <w:rsid w:val="00113A94"/>
    <w:rsid w:val="00113CE8"/>
    <w:rsid w:val="00115E8A"/>
    <w:rsid w:val="0012442B"/>
    <w:rsid w:val="0012535D"/>
    <w:rsid w:val="0012687E"/>
    <w:rsid w:val="00127654"/>
    <w:rsid w:val="0012790A"/>
    <w:rsid w:val="00127B75"/>
    <w:rsid w:val="00127DFC"/>
    <w:rsid w:val="0013020B"/>
    <w:rsid w:val="00130F7A"/>
    <w:rsid w:val="0013143D"/>
    <w:rsid w:val="0013163A"/>
    <w:rsid w:val="00133AEC"/>
    <w:rsid w:val="001349C4"/>
    <w:rsid w:val="00136501"/>
    <w:rsid w:val="001365F8"/>
    <w:rsid w:val="00140886"/>
    <w:rsid w:val="001408FD"/>
    <w:rsid w:val="00140D14"/>
    <w:rsid w:val="00142A1C"/>
    <w:rsid w:val="0014384A"/>
    <w:rsid w:val="00143DC7"/>
    <w:rsid w:val="0014406E"/>
    <w:rsid w:val="00146C6F"/>
    <w:rsid w:val="00151C21"/>
    <w:rsid w:val="00152016"/>
    <w:rsid w:val="00157455"/>
    <w:rsid w:val="001620DF"/>
    <w:rsid w:val="0016373D"/>
    <w:rsid w:val="00164436"/>
    <w:rsid w:val="001649BE"/>
    <w:rsid w:val="00165AC0"/>
    <w:rsid w:val="001669FC"/>
    <w:rsid w:val="0017013C"/>
    <w:rsid w:val="00170621"/>
    <w:rsid w:val="00170E47"/>
    <w:rsid w:val="001713C8"/>
    <w:rsid w:val="0017186A"/>
    <w:rsid w:val="00171CB0"/>
    <w:rsid w:val="00171FA0"/>
    <w:rsid w:val="001728DF"/>
    <w:rsid w:val="00173E85"/>
    <w:rsid w:val="00175298"/>
    <w:rsid w:val="00175310"/>
    <w:rsid w:val="00175D47"/>
    <w:rsid w:val="00176170"/>
    <w:rsid w:val="00180C73"/>
    <w:rsid w:val="00181D27"/>
    <w:rsid w:val="0018236E"/>
    <w:rsid w:val="00182372"/>
    <w:rsid w:val="001824F7"/>
    <w:rsid w:val="001843AD"/>
    <w:rsid w:val="001864E7"/>
    <w:rsid w:val="001868A1"/>
    <w:rsid w:val="00190341"/>
    <w:rsid w:val="00192972"/>
    <w:rsid w:val="00195894"/>
    <w:rsid w:val="0019629F"/>
    <w:rsid w:val="00196B43"/>
    <w:rsid w:val="001A012C"/>
    <w:rsid w:val="001A123B"/>
    <w:rsid w:val="001A18B5"/>
    <w:rsid w:val="001A41F1"/>
    <w:rsid w:val="001A6246"/>
    <w:rsid w:val="001B05E2"/>
    <w:rsid w:val="001B1248"/>
    <w:rsid w:val="001B1E95"/>
    <w:rsid w:val="001B3655"/>
    <w:rsid w:val="001B492D"/>
    <w:rsid w:val="001B752B"/>
    <w:rsid w:val="001C072E"/>
    <w:rsid w:val="001C1012"/>
    <w:rsid w:val="001C4141"/>
    <w:rsid w:val="001C6F78"/>
    <w:rsid w:val="001C77C1"/>
    <w:rsid w:val="001D1723"/>
    <w:rsid w:val="001D21F7"/>
    <w:rsid w:val="001D2C73"/>
    <w:rsid w:val="001D2DCC"/>
    <w:rsid w:val="001D52D2"/>
    <w:rsid w:val="001D5F6A"/>
    <w:rsid w:val="001D62C4"/>
    <w:rsid w:val="001E08C1"/>
    <w:rsid w:val="001E1F0D"/>
    <w:rsid w:val="001E258F"/>
    <w:rsid w:val="001E267F"/>
    <w:rsid w:val="001E3A14"/>
    <w:rsid w:val="001E3A70"/>
    <w:rsid w:val="001E488F"/>
    <w:rsid w:val="001E50CC"/>
    <w:rsid w:val="001F0195"/>
    <w:rsid w:val="001F316F"/>
    <w:rsid w:val="001F36BF"/>
    <w:rsid w:val="001F3ABF"/>
    <w:rsid w:val="001F3E33"/>
    <w:rsid w:val="001F4262"/>
    <w:rsid w:val="001F514B"/>
    <w:rsid w:val="001F7420"/>
    <w:rsid w:val="002002BC"/>
    <w:rsid w:val="00200341"/>
    <w:rsid w:val="00200B1C"/>
    <w:rsid w:val="00201048"/>
    <w:rsid w:val="00201B26"/>
    <w:rsid w:val="00201B4F"/>
    <w:rsid w:val="00201E41"/>
    <w:rsid w:val="00206B94"/>
    <w:rsid w:val="00206D34"/>
    <w:rsid w:val="00207711"/>
    <w:rsid w:val="00207B25"/>
    <w:rsid w:val="00210058"/>
    <w:rsid w:val="00210141"/>
    <w:rsid w:val="00210B36"/>
    <w:rsid w:val="00214619"/>
    <w:rsid w:val="00214DCA"/>
    <w:rsid w:val="00217714"/>
    <w:rsid w:val="0022211E"/>
    <w:rsid w:val="00222B5C"/>
    <w:rsid w:val="002231D0"/>
    <w:rsid w:val="002235A7"/>
    <w:rsid w:val="002239F9"/>
    <w:rsid w:val="00223E08"/>
    <w:rsid w:val="002253E1"/>
    <w:rsid w:val="00225417"/>
    <w:rsid w:val="00225879"/>
    <w:rsid w:val="00227703"/>
    <w:rsid w:val="0022771E"/>
    <w:rsid w:val="00230C35"/>
    <w:rsid w:val="00231A8E"/>
    <w:rsid w:val="0023533F"/>
    <w:rsid w:val="00235877"/>
    <w:rsid w:val="00235B76"/>
    <w:rsid w:val="00236A50"/>
    <w:rsid w:val="00237047"/>
    <w:rsid w:val="00242654"/>
    <w:rsid w:val="002428CD"/>
    <w:rsid w:val="002440E7"/>
    <w:rsid w:val="00244E6E"/>
    <w:rsid w:val="00245EE7"/>
    <w:rsid w:val="00246657"/>
    <w:rsid w:val="00251CE2"/>
    <w:rsid w:val="00252C55"/>
    <w:rsid w:val="00255D96"/>
    <w:rsid w:val="00255E00"/>
    <w:rsid w:val="00256CA4"/>
    <w:rsid w:val="00260470"/>
    <w:rsid w:val="00264521"/>
    <w:rsid w:val="002665AA"/>
    <w:rsid w:val="0026684F"/>
    <w:rsid w:val="002721E0"/>
    <w:rsid w:val="002753E6"/>
    <w:rsid w:val="00275CBA"/>
    <w:rsid w:val="00276556"/>
    <w:rsid w:val="0027724E"/>
    <w:rsid w:val="00277B9E"/>
    <w:rsid w:val="00277BE0"/>
    <w:rsid w:val="002815E9"/>
    <w:rsid w:val="00281B1F"/>
    <w:rsid w:val="002854B9"/>
    <w:rsid w:val="00285F5F"/>
    <w:rsid w:val="00287567"/>
    <w:rsid w:val="0029056C"/>
    <w:rsid w:val="00290F98"/>
    <w:rsid w:val="0029155C"/>
    <w:rsid w:val="002928C3"/>
    <w:rsid w:val="002930A9"/>
    <w:rsid w:val="0029487D"/>
    <w:rsid w:val="00294B6A"/>
    <w:rsid w:val="0029668D"/>
    <w:rsid w:val="00297A23"/>
    <w:rsid w:val="002A0CCB"/>
    <w:rsid w:val="002A0D0F"/>
    <w:rsid w:val="002A1F5C"/>
    <w:rsid w:val="002A225C"/>
    <w:rsid w:val="002A2677"/>
    <w:rsid w:val="002A2A98"/>
    <w:rsid w:val="002A4628"/>
    <w:rsid w:val="002A5E62"/>
    <w:rsid w:val="002A75B1"/>
    <w:rsid w:val="002B4F4F"/>
    <w:rsid w:val="002C0926"/>
    <w:rsid w:val="002C0B44"/>
    <w:rsid w:val="002C0FEB"/>
    <w:rsid w:val="002C3338"/>
    <w:rsid w:val="002C59D9"/>
    <w:rsid w:val="002C6A41"/>
    <w:rsid w:val="002C761D"/>
    <w:rsid w:val="002D2B81"/>
    <w:rsid w:val="002D32EE"/>
    <w:rsid w:val="002D44C6"/>
    <w:rsid w:val="002D5ECA"/>
    <w:rsid w:val="002D7CB3"/>
    <w:rsid w:val="002E015A"/>
    <w:rsid w:val="002E051D"/>
    <w:rsid w:val="002E0606"/>
    <w:rsid w:val="002E1DAA"/>
    <w:rsid w:val="002E2418"/>
    <w:rsid w:val="002E2ECE"/>
    <w:rsid w:val="002E3110"/>
    <w:rsid w:val="002E453B"/>
    <w:rsid w:val="002E5296"/>
    <w:rsid w:val="002E66B4"/>
    <w:rsid w:val="002E77F1"/>
    <w:rsid w:val="002F0581"/>
    <w:rsid w:val="002F0B0D"/>
    <w:rsid w:val="002F166F"/>
    <w:rsid w:val="002F2DB6"/>
    <w:rsid w:val="002F2F81"/>
    <w:rsid w:val="002F6C89"/>
    <w:rsid w:val="00302556"/>
    <w:rsid w:val="003032BD"/>
    <w:rsid w:val="00303415"/>
    <w:rsid w:val="0030539E"/>
    <w:rsid w:val="003055D9"/>
    <w:rsid w:val="00305BF4"/>
    <w:rsid w:val="00305F45"/>
    <w:rsid w:val="003061AB"/>
    <w:rsid w:val="00307B74"/>
    <w:rsid w:val="00310912"/>
    <w:rsid w:val="00311534"/>
    <w:rsid w:val="00315D89"/>
    <w:rsid w:val="003167F0"/>
    <w:rsid w:val="00317436"/>
    <w:rsid w:val="00320F39"/>
    <w:rsid w:val="00322BDA"/>
    <w:rsid w:val="00324055"/>
    <w:rsid w:val="00325B0B"/>
    <w:rsid w:val="00326182"/>
    <w:rsid w:val="00326335"/>
    <w:rsid w:val="00327A31"/>
    <w:rsid w:val="00327C22"/>
    <w:rsid w:val="00327EFB"/>
    <w:rsid w:val="003303AD"/>
    <w:rsid w:val="00330E3F"/>
    <w:rsid w:val="00331170"/>
    <w:rsid w:val="0033125F"/>
    <w:rsid w:val="003325AF"/>
    <w:rsid w:val="00334120"/>
    <w:rsid w:val="00334564"/>
    <w:rsid w:val="003351D6"/>
    <w:rsid w:val="003366E6"/>
    <w:rsid w:val="00337744"/>
    <w:rsid w:val="003404E7"/>
    <w:rsid w:val="00341038"/>
    <w:rsid w:val="00342624"/>
    <w:rsid w:val="0034293C"/>
    <w:rsid w:val="00344447"/>
    <w:rsid w:val="003447F3"/>
    <w:rsid w:val="00344AC9"/>
    <w:rsid w:val="0034561D"/>
    <w:rsid w:val="003457F4"/>
    <w:rsid w:val="00346EBE"/>
    <w:rsid w:val="00347591"/>
    <w:rsid w:val="00350938"/>
    <w:rsid w:val="0035287C"/>
    <w:rsid w:val="00353206"/>
    <w:rsid w:val="003537DA"/>
    <w:rsid w:val="0035442B"/>
    <w:rsid w:val="0035447A"/>
    <w:rsid w:val="0035564E"/>
    <w:rsid w:val="00355FF1"/>
    <w:rsid w:val="00356F0A"/>
    <w:rsid w:val="00357091"/>
    <w:rsid w:val="00357571"/>
    <w:rsid w:val="003612A0"/>
    <w:rsid w:val="0036210C"/>
    <w:rsid w:val="0036374C"/>
    <w:rsid w:val="00364E1D"/>
    <w:rsid w:val="0036521B"/>
    <w:rsid w:val="00365D19"/>
    <w:rsid w:val="0036605D"/>
    <w:rsid w:val="00370B4A"/>
    <w:rsid w:val="00371474"/>
    <w:rsid w:val="00372950"/>
    <w:rsid w:val="00373775"/>
    <w:rsid w:val="00373E47"/>
    <w:rsid w:val="003753BE"/>
    <w:rsid w:val="00375E47"/>
    <w:rsid w:val="0037733D"/>
    <w:rsid w:val="00380647"/>
    <w:rsid w:val="0038104E"/>
    <w:rsid w:val="003824F1"/>
    <w:rsid w:val="0038314A"/>
    <w:rsid w:val="00383BC1"/>
    <w:rsid w:val="00383E10"/>
    <w:rsid w:val="00384D0E"/>
    <w:rsid w:val="00387020"/>
    <w:rsid w:val="00387781"/>
    <w:rsid w:val="00390D68"/>
    <w:rsid w:val="0039186C"/>
    <w:rsid w:val="00391A6D"/>
    <w:rsid w:val="00393C94"/>
    <w:rsid w:val="00395A0B"/>
    <w:rsid w:val="00396783"/>
    <w:rsid w:val="00396CF9"/>
    <w:rsid w:val="003A0163"/>
    <w:rsid w:val="003A12E9"/>
    <w:rsid w:val="003A2830"/>
    <w:rsid w:val="003A2A37"/>
    <w:rsid w:val="003A2C74"/>
    <w:rsid w:val="003A4876"/>
    <w:rsid w:val="003A6CA0"/>
    <w:rsid w:val="003A7548"/>
    <w:rsid w:val="003B3468"/>
    <w:rsid w:val="003B3E23"/>
    <w:rsid w:val="003B496C"/>
    <w:rsid w:val="003B4FC2"/>
    <w:rsid w:val="003B59E9"/>
    <w:rsid w:val="003B5B9E"/>
    <w:rsid w:val="003B5D5B"/>
    <w:rsid w:val="003B5F27"/>
    <w:rsid w:val="003B653B"/>
    <w:rsid w:val="003B6CF7"/>
    <w:rsid w:val="003B6F56"/>
    <w:rsid w:val="003C05D8"/>
    <w:rsid w:val="003C2BD4"/>
    <w:rsid w:val="003C376B"/>
    <w:rsid w:val="003C3A0C"/>
    <w:rsid w:val="003C6519"/>
    <w:rsid w:val="003C78A5"/>
    <w:rsid w:val="003C7A69"/>
    <w:rsid w:val="003D03C8"/>
    <w:rsid w:val="003D116E"/>
    <w:rsid w:val="003D5A02"/>
    <w:rsid w:val="003D5B71"/>
    <w:rsid w:val="003D6340"/>
    <w:rsid w:val="003D716B"/>
    <w:rsid w:val="003D7A69"/>
    <w:rsid w:val="003E1273"/>
    <w:rsid w:val="003E25EF"/>
    <w:rsid w:val="003E35E9"/>
    <w:rsid w:val="003E6F2F"/>
    <w:rsid w:val="003E7929"/>
    <w:rsid w:val="003E7E60"/>
    <w:rsid w:val="003F2550"/>
    <w:rsid w:val="003F2B91"/>
    <w:rsid w:val="003F4004"/>
    <w:rsid w:val="003F58D3"/>
    <w:rsid w:val="003F672D"/>
    <w:rsid w:val="00400705"/>
    <w:rsid w:val="0040185E"/>
    <w:rsid w:val="004035BB"/>
    <w:rsid w:val="004037E1"/>
    <w:rsid w:val="00403B61"/>
    <w:rsid w:val="0040476C"/>
    <w:rsid w:val="00405564"/>
    <w:rsid w:val="004058C4"/>
    <w:rsid w:val="00406A6F"/>
    <w:rsid w:val="00406AB0"/>
    <w:rsid w:val="004101CC"/>
    <w:rsid w:val="00411D02"/>
    <w:rsid w:val="00411FEB"/>
    <w:rsid w:val="004124D3"/>
    <w:rsid w:val="00413BEC"/>
    <w:rsid w:val="00417738"/>
    <w:rsid w:val="0041796D"/>
    <w:rsid w:val="00417B31"/>
    <w:rsid w:val="004202A5"/>
    <w:rsid w:val="00420375"/>
    <w:rsid w:val="00420C7F"/>
    <w:rsid w:val="00422295"/>
    <w:rsid w:val="00423772"/>
    <w:rsid w:val="0042760A"/>
    <w:rsid w:val="0043090E"/>
    <w:rsid w:val="00430DFE"/>
    <w:rsid w:val="00431FFB"/>
    <w:rsid w:val="0043448E"/>
    <w:rsid w:val="004349D8"/>
    <w:rsid w:val="00435A12"/>
    <w:rsid w:val="00435A3B"/>
    <w:rsid w:val="00435BC7"/>
    <w:rsid w:val="00435C59"/>
    <w:rsid w:val="00435C8B"/>
    <w:rsid w:val="00436D49"/>
    <w:rsid w:val="00440138"/>
    <w:rsid w:val="0044134C"/>
    <w:rsid w:val="00443D16"/>
    <w:rsid w:val="00444970"/>
    <w:rsid w:val="00444B5F"/>
    <w:rsid w:val="00445743"/>
    <w:rsid w:val="004475A3"/>
    <w:rsid w:val="00447682"/>
    <w:rsid w:val="00450392"/>
    <w:rsid w:val="004512BB"/>
    <w:rsid w:val="00452EC3"/>
    <w:rsid w:val="004607EA"/>
    <w:rsid w:val="00460DA3"/>
    <w:rsid w:val="0046256E"/>
    <w:rsid w:val="00462CAE"/>
    <w:rsid w:val="00462E34"/>
    <w:rsid w:val="0046367B"/>
    <w:rsid w:val="00463AA4"/>
    <w:rsid w:val="00463F8C"/>
    <w:rsid w:val="00465B4F"/>
    <w:rsid w:val="004662CA"/>
    <w:rsid w:val="00466532"/>
    <w:rsid w:val="00466D77"/>
    <w:rsid w:val="00470005"/>
    <w:rsid w:val="00470037"/>
    <w:rsid w:val="00470D9D"/>
    <w:rsid w:val="00470E42"/>
    <w:rsid w:val="004738BE"/>
    <w:rsid w:val="0047511D"/>
    <w:rsid w:val="00475559"/>
    <w:rsid w:val="004759F4"/>
    <w:rsid w:val="00477249"/>
    <w:rsid w:val="00477421"/>
    <w:rsid w:val="0047775C"/>
    <w:rsid w:val="00480231"/>
    <w:rsid w:val="0048240E"/>
    <w:rsid w:val="004839B5"/>
    <w:rsid w:val="00484954"/>
    <w:rsid w:val="004854AF"/>
    <w:rsid w:val="004857D7"/>
    <w:rsid w:val="00485E7D"/>
    <w:rsid w:val="0048610D"/>
    <w:rsid w:val="00486148"/>
    <w:rsid w:val="00487084"/>
    <w:rsid w:val="00492141"/>
    <w:rsid w:val="004923F1"/>
    <w:rsid w:val="00492C9A"/>
    <w:rsid w:val="00496BF0"/>
    <w:rsid w:val="0049788B"/>
    <w:rsid w:val="004A0740"/>
    <w:rsid w:val="004A0ABE"/>
    <w:rsid w:val="004A139B"/>
    <w:rsid w:val="004A247B"/>
    <w:rsid w:val="004A3735"/>
    <w:rsid w:val="004A3771"/>
    <w:rsid w:val="004A3A06"/>
    <w:rsid w:val="004A475E"/>
    <w:rsid w:val="004A4FA2"/>
    <w:rsid w:val="004A65CE"/>
    <w:rsid w:val="004A6961"/>
    <w:rsid w:val="004A6CE1"/>
    <w:rsid w:val="004B0DB3"/>
    <w:rsid w:val="004B0F25"/>
    <w:rsid w:val="004B314C"/>
    <w:rsid w:val="004B45EB"/>
    <w:rsid w:val="004B4665"/>
    <w:rsid w:val="004B52F8"/>
    <w:rsid w:val="004B5507"/>
    <w:rsid w:val="004B74B1"/>
    <w:rsid w:val="004C0B8D"/>
    <w:rsid w:val="004C0EA2"/>
    <w:rsid w:val="004C1015"/>
    <w:rsid w:val="004C1AE2"/>
    <w:rsid w:val="004C533A"/>
    <w:rsid w:val="004C537C"/>
    <w:rsid w:val="004C5941"/>
    <w:rsid w:val="004C73F7"/>
    <w:rsid w:val="004D18AF"/>
    <w:rsid w:val="004D273B"/>
    <w:rsid w:val="004D2A0A"/>
    <w:rsid w:val="004D32C3"/>
    <w:rsid w:val="004D5408"/>
    <w:rsid w:val="004D577D"/>
    <w:rsid w:val="004D648D"/>
    <w:rsid w:val="004D6B1A"/>
    <w:rsid w:val="004E0A01"/>
    <w:rsid w:val="004E1812"/>
    <w:rsid w:val="004E2186"/>
    <w:rsid w:val="004E57A1"/>
    <w:rsid w:val="004E6712"/>
    <w:rsid w:val="004F0F8F"/>
    <w:rsid w:val="004F1A42"/>
    <w:rsid w:val="004F22A8"/>
    <w:rsid w:val="004F2CFA"/>
    <w:rsid w:val="004F2D9E"/>
    <w:rsid w:val="004F3B74"/>
    <w:rsid w:val="004F50C9"/>
    <w:rsid w:val="004F5198"/>
    <w:rsid w:val="004F6743"/>
    <w:rsid w:val="004F6A3F"/>
    <w:rsid w:val="004F7E93"/>
    <w:rsid w:val="00501426"/>
    <w:rsid w:val="00501D9D"/>
    <w:rsid w:val="005021C3"/>
    <w:rsid w:val="005025EF"/>
    <w:rsid w:val="0050414D"/>
    <w:rsid w:val="00504E9E"/>
    <w:rsid w:val="005072DF"/>
    <w:rsid w:val="00507544"/>
    <w:rsid w:val="00511B90"/>
    <w:rsid w:val="00513906"/>
    <w:rsid w:val="005201B0"/>
    <w:rsid w:val="00520262"/>
    <w:rsid w:val="00520B33"/>
    <w:rsid w:val="00524403"/>
    <w:rsid w:val="00525BD1"/>
    <w:rsid w:val="00527520"/>
    <w:rsid w:val="00527A8B"/>
    <w:rsid w:val="005303DD"/>
    <w:rsid w:val="005327FD"/>
    <w:rsid w:val="00532C39"/>
    <w:rsid w:val="00533903"/>
    <w:rsid w:val="00533E21"/>
    <w:rsid w:val="005358A2"/>
    <w:rsid w:val="00540CDE"/>
    <w:rsid w:val="00540F97"/>
    <w:rsid w:val="00541335"/>
    <w:rsid w:val="00541738"/>
    <w:rsid w:val="00541B73"/>
    <w:rsid w:val="00541CAF"/>
    <w:rsid w:val="00542224"/>
    <w:rsid w:val="00542ABF"/>
    <w:rsid w:val="005431BC"/>
    <w:rsid w:val="00545664"/>
    <w:rsid w:val="0054605D"/>
    <w:rsid w:val="005472FC"/>
    <w:rsid w:val="005478DD"/>
    <w:rsid w:val="0055114B"/>
    <w:rsid w:val="005515ED"/>
    <w:rsid w:val="00551E86"/>
    <w:rsid w:val="00553DDB"/>
    <w:rsid w:val="00553EFA"/>
    <w:rsid w:val="005561F3"/>
    <w:rsid w:val="00560638"/>
    <w:rsid w:val="005618E2"/>
    <w:rsid w:val="00561E6F"/>
    <w:rsid w:val="00563704"/>
    <w:rsid w:val="00564FA4"/>
    <w:rsid w:val="005659E6"/>
    <w:rsid w:val="005661E9"/>
    <w:rsid w:val="00567384"/>
    <w:rsid w:val="0057135A"/>
    <w:rsid w:val="00572143"/>
    <w:rsid w:val="0057308C"/>
    <w:rsid w:val="0057556F"/>
    <w:rsid w:val="00575A5C"/>
    <w:rsid w:val="005761DF"/>
    <w:rsid w:val="0057751B"/>
    <w:rsid w:val="00577839"/>
    <w:rsid w:val="00577E6C"/>
    <w:rsid w:val="00580FC5"/>
    <w:rsid w:val="0058226F"/>
    <w:rsid w:val="005832EB"/>
    <w:rsid w:val="00584EDD"/>
    <w:rsid w:val="005872C7"/>
    <w:rsid w:val="005926FE"/>
    <w:rsid w:val="00592CA2"/>
    <w:rsid w:val="00593CA0"/>
    <w:rsid w:val="00597652"/>
    <w:rsid w:val="0059788F"/>
    <w:rsid w:val="005A0E19"/>
    <w:rsid w:val="005A186D"/>
    <w:rsid w:val="005A3EFE"/>
    <w:rsid w:val="005A7F78"/>
    <w:rsid w:val="005B17B4"/>
    <w:rsid w:val="005B191B"/>
    <w:rsid w:val="005B34D2"/>
    <w:rsid w:val="005B3973"/>
    <w:rsid w:val="005B5A5E"/>
    <w:rsid w:val="005B6E2A"/>
    <w:rsid w:val="005B72B7"/>
    <w:rsid w:val="005B7D24"/>
    <w:rsid w:val="005C1F01"/>
    <w:rsid w:val="005C27A3"/>
    <w:rsid w:val="005C32CB"/>
    <w:rsid w:val="005C3B4A"/>
    <w:rsid w:val="005C3EC1"/>
    <w:rsid w:val="005C5B90"/>
    <w:rsid w:val="005C5CEA"/>
    <w:rsid w:val="005C6B31"/>
    <w:rsid w:val="005C7DC3"/>
    <w:rsid w:val="005D011D"/>
    <w:rsid w:val="005D2F24"/>
    <w:rsid w:val="005E061A"/>
    <w:rsid w:val="005E0716"/>
    <w:rsid w:val="005E15F1"/>
    <w:rsid w:val="005E1D2B"/>
    <w:rsid w:val="005E2D70"/>
    <w:rsid w:val="005E3F4A"/>
    <w:rsid w:val="005E5F59"/>
    <w:rsid w:val="005E6191"/>
    <w:rsid w:val="005E7CDC"/>
    <w:rsid w:val="005F0D88"/>
    <w:rsid w:val="005F3055"/>
    <w:rsid w:val="005F6838"/>
    <w:rsid w:val="005F69A9"/>
    <w:rsid w:val="005F77CF"/>
    <w:rsid w:val="005F79B4"/>
    <w:rsid w:val="0060191C"/>
    <w:rsid w:val="00602E1D"/>
    <w:rsid w:val="00603C5C"/>
    <w:rsid w:val="0060435F"/>
    <w:rsid w:val="00604906"/>
    <w:rsid w:val="00604E44"/>
    <w:rsid w:val="006052F7"/>
    <w:rsid w:val="00605693"/>
    <w:rsid w:val="0060770C"/>
    <w:rsid w:val="00607843"/>
    <w:rsid w:val="00611280"/>
    <w:rsid w:val="00611908"/>
    <w:rsid w:val="00612C79"/>
    <w:rsid w:val="00613E55"/>
    <w:rsid w:val="006153C7"/>
    <w:rsid w:val="00615F9A"/>
    <w:rsid w:val="00616653"/>
    <w:rsid w:val="00616675"/>
    <w:rsid w:val="006170D8"/>
    <w:rsid w:val="00617B39"/>
    <w:rsid w:val="00617DD4"/>
    <w:rsid w:val="00622198"/>
    <w:rsid w:val="00622698"/>
    <w:rsid w:val="006279F4"/>
    <w:rsid w:val="006308E1"/>
    <w:rsid w:val="006313C1"/>
    <w:rsid w:val="00631CC0"/>
    <w:rsid w:val="0063299D"/>
    <w:rsid w:val="00633563"/>
    <w:rsid w:val="00636A04"/>
    <w:rsid w:val="00643BA4"/>
    <w:rsid w:val="00644DBE"/>
    <w:rsid w:val="006463E3"/>
    <w:rsid w:val="00647DD1"/>
    <w:rsid w:val="00651F04"/>
    <w:rsid w:val="00652CFC"/>
    <w:rsid w:val="00654F2D"/>
    <w:rsid w:val="006559A7"/>
    <w:rsid w:val="006574A1"/>
    <w:rsid w:val="006578D5"/>
    <w:rsid w:val="00660484"/>
    <w:rsid w:val="006607B4"/>
    <w:rsid w:val="0066082D"/>
    <w:rsid w:val="00661B46"/>
    <w:rsid w:val="00662BFE"/>
    <w:rsid w:val="0066328B"/>
    <w:rsid w:val="00664105"/>
    <w:rsid w:val="0066433B"/>
    <w:rsid w:val="00664D9A"/>
    <w:rsid w:val="00665A23"/>
    <w:rsid w:val="00665EE8"/>
    <w:rsid w:val="006678D6"/>
    <w:rsid w:val="00667955"/>
    <w:rsid w:val="00670F65"/>
    <w:rsid w:val="00671809"/>
    <w:rsid w:val="00674791"/>
    <w:rsid w:val="00674A11"/>
    <w:rsid w:val="00674A74"/>
    <w:rsid w:val="00674E32"/>
    <w:rsid w:val="00675A1B"/>
    <w:rsid w:val="006771C1"/>
    <w:rsid w:val="00680674"/>
    <w:rsid w:val="00680D8D"/>
    <w:rsid w:val="00681106"/>
    <w:rsid w:val="00683D98"/>
    <w:rsid w:val="00684703"/>
    <w:rsid w:val="00684F05"/>
    <w:rsid w:val="006907DC"/>
    <w:rsid w:val="00690BBD"/>
    <w:rsid w:val="006913DB"/>
    <w:rsid w:val="0069162A"/>
    <w:rsid w:val="00693465"/>
    <w:rsid w:val="00694986"/>
    <w:rsid w:val="00695A74"/>
    <w:rsid w:val="0069627E"/>
    <w:rsid w:val="006A3E6D"/>
    <w:rsid w:val="006A4F66"/>
    <w:rsid w:val="006A545A"/>
    <w:rsid w:val="006A6FD2"/>
    <w:rsid w:val="006A74DE"/>
    <w:rsid w:val="006A7842"/>
    <w:rsid w:val="006A7DD9"/>
    <w:rsid w:val="006B0CCC"/>
    <w:rsid w:val="006B0D34"/>
    <w:rsid w:val="006B169C"/>
    <w:rsid w:val="006B1A77"/>
    <w:rsid w:val="006B1DAC"/>
    <w:rsid w:val="006B5222"/>
    <w:rsid w:val="006B5910"/>
    <w:rsid w:val="006B66BE"/>
    <w:rsid w:val="006B6844"/>
    <w:rsid w:val="006C224F"/>
    <w:rsid w:val="006C44F2"/>
    <w:rsid w:val="006C5369"/>
    <w:rsid w:val="006C5A11"/>
    <w:rsid w:val="006C5EC0"/>
    <w:rsid w:val="006C79AA"/>
    <w:rsid w:val="006D03E0"/>
    <w:rsid w:val="006D0F60"/>
    <w:rsid w:val="006D10BB"/>
    <w:rsid w:val="006D1E6E"/>
    <w:rsid w:val="006D3277"/>
    <w:rsid w:val="006D3B62"/>
    <w:rsid w:val="006D43BE"/>
    <w:rsid w:val="006D661B"/>
    <w:rsid w:val="006D7A57"/>
    <w:rsid w:val="006E00FA"/>
    <w:rsid w:val="006E04B8"/>
    <w:rsid w:val="006E3EF1"/>
    <w:rsid w:val="006E42D0"/>
    <w:rsid w:val="006E4F87"/>
    <w:rsid w:val="006E5817"/>
    <w:rsid w:val="006F295F"/>
    <w:rsid w:val="006F3D87"/>
    <w:rsid w:val="006F3F0E"/>
    <w:rsid w:val="006F473E"/>
    <w:rsid w:val="006F5C68"/>
    <w:rsid w:val="006F5FFC"/>
    <w:rsid w:val="006F6E2A"/>
    <w:rsid w:val="00701104"/>
    <w:rsid w:val="007016A3"/>
    <w:rsid w:val="007016BB"/>
    <w:rsid w:val="00702E81"/>
    <w:rsid w:val="00703B13"/>
    <w:rsid w:val="00704EFA"/>
    <w:rsid w:val="00704FA3"/>
    <w:rsid w:val="00706EFA"/>
    <w:rsid w:val="0070792A"/>
    <w:rsid w:val="00707E6C"/>
    <w:rsid w:val="00711208"/>
    <w:rsid w:val="00711341"/>
    <w:rsid w:val="00712097"/>
    <w:rsid w:val="0071264B"/>
    <w:rsid w:val="00712E91"/>
    <w:rsid w:val="0071489B"/>
    <w:rsid w:val="007156F6"/>
    <w:rsid w:val="00717311"/>
    <w:rsid w:val="00722188"/>
    <w:rsid w:val="00722C07"/>
    <w:rsid w:val="0072392C"/>
    <w:rsid w:val="007246F4"/>
    <w:rsid w:val="00725113"/>
    <w:rsid w:val="007301D0"/>
    <w:rsid w:val="00730A68"/>
    <w:rsid w:val="00730FC7"/>
    <w:rsid w:val="00731F80"/>
    <w:rsid w:val="00732BF9"/>
    <w:rsid w:val="00733175"/>
    <w:rsid w:val="007358E9"/>
    <w:rsid w:val="00741518"/>
    <w:rsid w:val="007426A0"/>
    <w:rsid w:val="00743E68"/>
    <w:rsid w:val="007447C9"/>
    <w:rsid w:val="00744EAC"/>
    <w:rsid w:val="0074556D"/>
    <w:rsid w:val="00746C6A"/>
    <w:rsid w:val="0074798F"/>
    <w:rsid w:val="00752FB0"/>
    <w:rsid w:val="00753251"/>
    <w:rsid w:val="00753B50"/>
    <w:rsid w:val="00754BBD"/>
    <w:rsid w:val="00755E32"/>
    <w:rsid w:val="00755E34"/>
    <w:rsid w:val="00756D86"/>
    <w:rsid w:val="007614B8"/>
    <w:rsid w:val="00761676"/>
    <w:rsid w:val="00761AD3"/>
    <w:rsid w:val="0076208F"/>
    <w:rsid w:val="0076285B"/>
    <w:rsid w:val="007628C0"/>
    <w:rsid w:val="00764B3B"/>
    <w:rsid w:val="007660B0"/>
    <w:rsid w:val="007746C2"/>
    <w:rsid w:val="00775244"/>
    <w:rsid w:val="007768EC"/>
    <w:rsid w:val="007773F8"/>
    <w:rsid w:val="00781551"/>
    <w:rsid w:val="0078169F"/>
    <w:rsid w:val="00781F8F"/>
    <w:rsid w:val="00783098"/>
    <w:rsid w:val="0078331A"/>
    <w:rsid w:val="00783380"/>
    <w:rsid w:val="00784310"/>
    <w:rsid w:val="00784D99"/>
    <w:rsid w:val="00785F1E"/>
    <w:rsid w:val="00786F0C"/>
    <w:rsid w:val="00787FDA"/>
    <w:rsid w:val="00790FE0"/>
    <w:rsid w:val="0079162E"/>
    <w:rsid w:val="007916AF"/>
    <w:rsid w:val="007917FE"/>
    <w:rsid w:val="0079294A"/>
    <w:rsid w:val="007930A3"/>
    <w:rsid w:val="0079554B"/>
    <w:rsid w:val="007957F3"/>
    <w:rsid w:val="00796A3C"/>
    <w:rsid w:val="007972A9"/>
    <w:rsid w:val="00797537"/>
    <w:rsid w:val="007A1035"/>
    <w:rsid w:val="007A1057"/>
    <w:rsid w:val="007A1511"/>
    <w:rsid w:val="007A2237"/>
    <w:rsid w:val="007A30FC"/>
    <w:rsid w:val="007A3BEA"/>
    <w:rsid w:val="007A4178"/>
    <w:rsid w:val="007A42A6"/>
    <w:rsid w:val="007A45CB"/>
    <w:rsid w:val="007A615C"/>
    <w:rsid w:val="007A67CF"/>
    <w:rsid w:val="007A7393"/>
    <w:rsid w:val="007B0E41"/>
    <w:rsid w:val="007B142A"/>
    <w:rsid w:val="007B18A1"/>
    <w:rsid w:val="007B23A6"/>
    <w:rsid w:val="007B3962"/>
    <w:rsid w:val="007B536E"/>
    <w:rsid w:val="007B56E9"/>
    <w:rsid w:val="007B744D"/>
    <w:rsid w:val="007B75C4"/>
    <w:rsid w:val="007C0276"/>
    <w:rsid w:val="007C1D2A"/>
    <w:rsid w:val="007C215E"/>
    <w:rsid w:val="007C2308"/>
    <w:rsid w:val="007C25A7"/>
    <w:rsid w:val="007C7AFB"/>
    <w:rsid w:val="007D0A34"/>
    <w:rsid w:val="007D18FC"/>
    <w:rsid w:val="007D1F04"/>
    <w:rsid w:val="007D20CC"/>
    <w:rsid w:val="007D257F"/>
    <w:rsid w:val="007D2AFB"/>
    <w:rsid w:val="007D49AE"/>
    <w:rsid w:val="007D5D7C"/>
    <w:rsid w:val="007D6581"/>
    <w:rsid w:val="007E0425"/>
    <w:rsid w:val="007E0D02"/>
    <w:rsid w:val="007E1089"/>
    <w:rsid w:val="007E339D"/>
    <w:rsid w:val="007E6C0C"/>
    <w:rsid w:val="007F10A4"/>
    <w:rsid w:val="007F154C"/>
    <w:rsid w:val="007F23D5"/>
    <w:rsid w:val="007F2DE6"/>
    <w:rsid w:val="007F3D75"/>
    <w:rsid w:val="0080037F"/>
    <w:rsid w:val="00802406"/>
    <w:rsid w:val="00802A8F"/>
    <w:rsid w:val="00802BF0"/>
    <w:rsid w:val="00802CA5"/>
    <w:rsid w:val="008038A5"/>
    <w:rsid w:val="00804D54"/>
    <w:rsid w:val="00805C0E"/>
    <w:rsid w:val="0080634A"/>
    <w:rsid w:val="0080747C"/>
    <w:rsid w:val="00810AC6"/>
    <w:rsid w:val="00810B93"/>
    <w:rsid w:val="00812B1C"/>
    <w:rsid w:val="00812DCF"/>
    <w:rsid w:val="00812E1A"/>
    <w:rsid w:val="008134B2"/>
    <w:rsid w:val="008135F1"/>
    <w:rsid w:val="00813E60"/>
    <w:rsid w:val="00814565"/>
    <w:rsid w:val="00814579"/>
    <w:rsid w:val="00814CFF"/>
    <w:rsid w:val="00816C67"/>
    <w:rsid w:val="00816C90"/>
    <w:rsid w:val="0082080A"/>
    <w:rsid w:val="00821262"/>
    <w:rsid w:val="0082171C"/>
    <w:rsid w:val="00821DF3"/>
    <w:rsid w:val="00822CCB"/>
    <w:rsid w:val="00824798"/>
    <w:rsid w:val="008250A1"/>
    <w:rsid w:val="0082689C"/>
    <w:rsid w:val="008300C8"/>
    <w:rsid w:val="008335F1"/>
    <w:rsid w:val="008353F2"/>
    <w:rsid w:val="00835664"/>
    <w:rsid w:val="00836018"/>
    <w:rsid w:val="008364BE"/>
    <w:rsid w:val="00837CC1"/>
    <w:rsid w:val="008414A4"/>
    <w:rsid w:val="00841B0A"/>
    <w:rsid w:val="00841D05"/>
    <w:rsid w:val="0084459F"/>
    <w:rsid w:val="008457AA"/>
    <w:rsid w:val="00846637"/>
    <w:rsid w:val="00846C14"/>
    <w:rsid w:val="00847938"/>
    <w:rsid w:val="00847D82"/>
    <w:rsid w:val="00850A16"/>
    <w:rsid w:val="00850E42"/>
    <w:rsid w:val="00852460"/>
    <w:rsid w:val="00854DE2"/>
    <w:rsid w:val="00857D19"/>
    <w:rsid w:val="00860959"/>
    <w:rsid w:val="00860F58"/>
    <w:rsid w:val="008619DD"/>
    <w:rsid w:val="00864870"/>
    <w:rsid w:val="008665CE"/>
    <w:rsid w:val="00866FE5"/>
    <w:rsid w:val="00870326"/>
    <w:rsid w:val="0087330E"/>
    <w:rsid w:val="00873F1F"/>
    <w:rsid w:val="00875E41"/>
    <w:rsid w:val="008765B5"/>
    <w:rsid w:val="00876980"/>
    <w:rsid w:val="00880C6A"/>
    <w:rsid w:val="0088194F"/>
    <w:rsid w:val="00882221"/>
    <w:rsid w:val="00886AB1"/>
    <w:rsid w:val="00887A42"/>
    <w:rsid w:val="00890E70"/>
    <w:rsid w:val="00892E4C"/>
    <w:rsid w:val="00893BAF"/>
    <w:rsid w:val="008940CA"/>
    <w:rsid w:val="008944A3"/>
    <w:rsid w:val="008955F0"/>
    <w:rsid w:val="0089639F"/>
    <w:rsid w:val="0089660E"/>
    <w:rsid w:val="00896730"/>
    <w:rsid w:val="008978A4"/>
    <w:rsid w:val="008A04D2"/>
    <w:rsid w:val="008A23B1"/>
    <w:rsid w:val="008A2A38"/>
    <w:rsid w:val="008A3263"/>
    <w:rsid w:val="008A4AD3"/>
    <w:rsid w:val="008A6C9F"/>
    <w:rsid w:val="008A6EC8"/>
    <w:rsid w:val="008A7210"/>
    <w:rsid w:val="008A7317"/>
    <w:rsid w:val="008B04D5"/>
    <w:rsid w:val="008B052E"/>
    <w:rsid w:val="008B069A"/>
    <w:rsid w:val="008B0F8F"/>
    <w:rsid w:val="008B1AB3"/>
    <w:rsid w:val="008B359D"/>
    <w:rsid w:val="008B4EB1"/>
    <w:rsid w:val="008B50A6"/>
    <w:rsid w:val="008B57B9"/>
    <w:rsid w:val="008B7064"/>
    <w:rsid w:val="008B70CA"/>
    <w:rsid w:val="008B77B3"/>
    <w:rsid w:val="008B7E57"/>
    <w:rsid w:val="008C0618"/>
    <w:rsid w:val="008C0A5D"/>
    <w:rsid w:val="008C10F1"/>
    <w:rsid w:val="008C1A5E"/>
    <w:rsid w:val="008C2061"/>
    <w:rsid w:val="008C2FD1"/>
    <w:rsid w:val="008C5358"/>
    <w:rsid w:val="008C7618"/>
    <w:rsid w:val="008D0E8A"/>
    <w:rsid w:val="008D0F2B"/>
    <w:rsid w:val="008D2A07"/>
    <w:rsid w:val="008D4754"/>
    <w:rsid w:val="008D48A3"/>
    <w:rsid w:val="008D4FA5"/>
    <w:rsid w:val="008D6721"/>
    <w:rsid w:val="008D68C5"/>
    <w:rsid w:val="008D736A"/>
    <w:rsid w:val="008E0CB7"/>
    <w:rsid w:val="008E16AF"/>
    <w:rsid w:val="008E2D0C"/>
    <w:rsid w:val="008E4746"/>
    <w:rsid w:val="008E4BA7"/>
    <w:rsid w:val="008E4FEC"/>
    <w:rsid w:val="008E53E7"/>
    <w:rsid w:val="008E66D7"/>
    <w:rsid w:val="008E680B"/>
    <w:rsid w:val="008E6EBC"/>
    <w:rsid w:val="008E7356"/>
    <w:rsid w:val="008F1C29"/>
    <w:rsid w:val="008F42EF"/>
    <w:rsid w:val="008F447F"/>
    <w:rsid w:val="008F4EF7"/>
    <w:rsid w:val="008F570F"/>
    <w:rsid w:val="008F6698"/>
    <w:rsid w:val="008F68F4"/>
    <w:rsid w:val="008F6B0B"/>
    <w:rsid w:val="009004C2"/>
    <w:rsid w:val="009026DA"/>
    <w:rsid w:val="00904C32"/>
    <w:rsid w:val="009072EA"/>
    <w:rsid w:val="00907B7E"/>
    <w:rsid w:val="00912B67"/>
    <w:rsid w:val="00913EB2"/>
    <w:rsid w:val="00913ED5"/>
    <w:rsid w:val="00914480"/>
    <w:rsid w:val="00914B56"/>
    <w:rsid w:val="0091584E"/>
    <w:rsid w:val="00915BAB"/>
    <w:rsid w:val="00923C2A"/>
    <w:rsid w:val="00925346"/>
    <w:rsid w:val="00926B1D"/>
    <w:rsid w:val="00926F13"/>
    <w:rsid w:val="00931485"/>
    <w:rsid w:val="00935B35"/>
    <w:rsid w:val="0093655B"/>
    <w:rsid w:val="009403D1"/>
    <w:rsid w:val="009413D7"/>
    <w:rsid w:val="009413F2"/>
    <w:rsid w:val="00942188"/>
    <w:rsid w:val="009444D6"/>
    <w:rsid w:val="009510DE"/>
    <w:rsid w:val="009514AB"/>
    <w:rsid w:val="00952A3D"/>
    <w:rsid w:val="00954A4E"/>
    <w:rsid w:val="0095568A"/>
    <w:rsid w:val="00957955"/>
    <w:rsid w:val="009603AE"/>
    <w:rsid w:val="0096072B"/>
    <w:rsid w:val="00960A1B"/>
    <w:rsid w:val="00961F6F"/>
    <w:rsid w:val="009627A4"/>
    <w:rsid w:val="0096491F"/>
    <w:rsid w:val="00966ED9"/>
    <w:rsid w:val="00966F71"/>
    <w:rsid w:val="00967F32"/>
    <w:rsid w:val="00967F7F"/>
    <w:rsid w:val="0097092D"/>
    <w:rsid w:val="0097217A"/>
    <w:rsid w:val="009743B8"/>
    <w:rsid w:val="0097449B"/>
    <w:rsid w:val="00975066"/>
    <w:rsid w:val="009757E3"/>
    <w:rsid w:val="00976EC8"/>
    <w:rsid w:val="00977A84"/>
    <w:rsid w:val="00981625"/>
    <w:rsid w:val="00982BE9"/>
    <w:rsid w:val="00983676"/>
    <w:rsid w:val="009839C0"/>
    <w:rsid w:val="00985E00"/>
    <w:rsid w:val="00986C75"/>
    <w:rsid w:val="00986F74"/>
    <w:rsid w:val="0098786A"/>
    <w:rsid w:val="00987A5B"/>
    <w:rsid w:val="00987DDF"/>
    <w:rsid w:val="009905BF"/>
    <w:rsid w:val="00990C5F"/>
    <w:rsid w:val="009920F2"/>
    <w:rsid w:val="009938EF"/>
    <w:rsid w:val="00993C9A"/>
    <w:rsid w:val="00993EAA"/>
    <w:rsid w:val="0099615A"/>
    <w:rsid w:val="00996498"/>
    <w:rsid w:val="00997069"/>
    <w:rsid w:val="009973DE"/>
    <w:rsid w:val="00997D22"/>
    <w:rsid w:val="009A3B99"/>
    <w:rsid w:val="009A3CD9"/>
    <w:rsid w:val="009A3D3D"/>
    <w:rsid w:val="009A4E83"/>
    <w:rsid w:val="009A6EED"/>
    <w:rsid w:val="009B1671"/>
    <w:rsid w:val="009B1B63"/>
    <w:rsid w:val="009B4332"/>
    <w:rsid w:val="009B4A71"/>
    <w:rsid w:val="009B677A"/>
    <w:rsid w:val="009B6B66"/>
    <w:rsid w:val="009B7475"/>
    <w:rsid w:val="009C071C"/>
    <w:rsid w:val="009C11D8"/>
    <w:rsid w:val="009C3B47"/>
    <w:rsid w:val="009C5629"/>
    <w:rsid w:val="009C57D4"/>
    <w:rsid w:val="009C70A7"/>
    <w:rsid w:val="009C7897"/>
    <w:rsid w:val="009C7DAC"/>
    <w:rsid w:val="009D11DF"/>
    <w:rsid w:val="009D14AA"/>
    <w:rsid w:val="009D38F2"/>
    <w:rsid w:val="009D3D2A"/>
    <w:rsid w:val="009D4049"/>
    <w:rsid w:val="009D447C"/>
    <w:rsid w:val="009E092C"/>
    <w:rsid w:val="009E238F"/>
    <w:rsid w:val="009E27FC"/>
    <w:rsid w:val="009E373A"/>
    <w:rsid w:val="009E3E2D"/>
    <w:rsid w:val="009E402A"/>
    <w:rsid w:val="009E4705"/>
    <w:rsid w:val="009E4D45"/>
    <w:rsid w:val="009E60CE"/>
    <w:rsid w:val="009E683E"/>
    <w:rsid w:val="009F0E0E"/>
    <w:rsid w:val="009F2B6C"/>
    <w:rsid w:val="009F3349"/>
    <w:rsid w:val="009F34FC"/>
    <w:rsid w:val="009F471C"/>
    <w:rsid w:val="009F4AE8"/>
    <w:rsid w:val="009F5280"/>
    <w:rsid w:val="009F5C60"/>
    <w:rsid w:val="009F5C87"/>
    <w:rsid w:val="009F5CFD"/>
    <w:rsid w:val="00A00393"/>
    <w:rsid w:val="00A01FAD"/>
    <w:rsid w:val="00A03BBE"/>
    <w:rsid w:val="00A03D9F"/>
    <w:rsid w:val="00A04671"/>
    <w:rsid w:val="00A05CFF"/>
    <w:rsid w:val="00A063F2"/>
    <w:rsid w:val="00A06E4B"/>
    <w:rsid w:val="00A07E89"/>
    <w:rsid w:val="00A07F0F"/>
    <w:rsid w:val="00A10FEA"/>
    <w:rsid w:val="00A113C5"/>
    <w:rsid w:val="00A129B5"/>
    <w:rsid w:val="00A12AF2"/>
    <w:rsid w:val="00A12BD4"/>
    <w:rsid w:val="00A13861"/>
    <w:rsid w:val="00A14F62"/>
    <w:rsid w:val="00A15AD1"/>
    <w:rsid w:val="00A15AE2"/>
    <w:rsid w:val="00A1632E"/>
    <w:rsid w:val="00A2089D"/>
    <w:rsid w:val="00A21025"/>
    <w:rsid w:val="00A21B1A"/>
    <w:rsid w:val="00A2398E"/>
    <w:rsid w:val="00A241FF"/>
    <w:rsid w:val="00A26D3B"/>
    <w:rsid w:val="00A27691"/>
    <w:rsid w:val="00A27800"/>
    <w:rsid w:val="00A3001E"/>
    <w:rsid w:val="00A31FF9"/>
    <w:rsid w:val="00A32010"/>
    <w:rsid w:val="00A324BD"/>
    <w:rsid w:val="00A3692F"/>
    <w:rsid w:val="00A36E87"/>
    <w:rsid w:val="00A4116D"/>
    <w:rsid w:val="00A43469"/>
    <w:rsid w:val="00A4380F"/>
    <w:rsid w:val="00A4387B"/>
    <w:rsid w:val="00A45D2D"/>
    <w:rsid w:val="00A4621B"/>
    <w:rsid w:val="00A4677A"/>
    <w:rsid w:val="00A46DFB"/>
    <w:rsid w:val="00A47EA8"/>
    <w:rsid w:val="00A50612"/>
    <w:rsid w:val="00A52103"/>
    <w:rsid w:val="00A532B2"/>
    <w:rsid w:val="00A55428"/>
    <w:rsid w:val="00A6092E"/>
    <w:rsid w:val="00A60A0B"/>
    <w:rsid w:val="00A61230"/>
    <w:rsid w:val="00A621D8"/>
    <w:rsid w:val="00A63F24"/>
    <w:rsid w:val="00A64D8F"/>
    <w:rsid w:val="00A718E0"/>
    <w:rsid w:val="00A72AFC"/>
    <w:rsid w:val="00A72B18"/>
    <w:rsid w:val="00A763D2"/>
    <w:rsid w:val="00A7776E"/>
    <w:rsid w:val="00A809A5"/>
    <w:rsid w:val="00A814AA"/>
    <w:rsid w:val="00A8306D"/>
    <w:rsid w:val="00A8315A"/>
    <w:rsid w:val="00A83AD3"/>
    <w:rsid w:val="00A84DE1"/>
    <w:rsid w:val="00A84F96"/>
    <w:rsid w:val="00A84FBB"/>
    <w:rsid w:val="00A86CD0"/>
    <w:rsid w:val="00A927B9"/>
    <w:rsid w:val="00A95040"/>
    <w:rsid w:val="00A95C53"/>
    <w:rsid w:val="00A96D77"/>
    <w:rsid w:val="00AA0D9B"/>
    <w:rsid w:val="00AA190A"/>
    <w:rsid w:val="00AA22B1"/>
    <w:rsid w:val="00AA3FB7"/>
    <w:rsid w:val="00AA44DC"/>
    <w:rsid w:val="00AA5849"/>
    <w:rsid w:val="00AA5945"/>
    <w:rsid w:val="00AA6206"/>
    <w:rsid w:val="00AA63A9"/>
    <w:rsid w:val="00AB03B5"/>
    <w:rsid w:val="00AB28D5"/>
    <w:rsid w:val="00AB2FFC"/>
    <w:rsid w:val="00AB7000"/>
    <w:rsid w:val="00AB76B3"/>
    <w:rsid w:val="00AB7EE5"/>
    <w:rsid w:val="00AC0D2D"/>
    <w:rsid w:val="00AC1E3D"/>
    <w:rsid w:val="00AC3185"/>
    <w:rsid w:val="00AC3635"/>
    <w:rsid w:val="00AC496E"/>
    <w:rsid w:val="00AC5D0E"/>
    <w:rsid w:val="00AD0D68"/>
    <w:rsid w:val="00AD127A"/>
    <w:rsid w:val="00AD1513"/>
    <w:rsid w:val="00AD273D"/>
    <w:rsid w:val="00AD3592"/>
    <w:rsid w:val="00AD3593"/>
    <w:rsid w:val="00AD669C"/>
    <w:rsid w:val="00AD7410"/>
    <w:rsid w:val="00AD750F"/>
    <w:rsid w:val="00AE0A51"/>
    <w:rsid w:val="00AE139C"/>
    <w:rsid w:val="00AE1E05"/>
    <w:rsid w:val="00AE29C7"/>
    <w:rsid w:val="00AE3C2E"/>
    <w:rsid w:val="00AE476A"/>
    <w:rsid w:val="00AE533B"/>
    <w:rsid w:val="00AE6094"/>
    <w:rsid w:val="00AE6F76"/>
    <w:rsid w:val="00AF2443"/>
    <w:rsid w:val="00AF2DE5"/>
    <w:rsid w:val="00AF3D8F"/>
    <w:rsid w:val="00AF460D"/>
    <w:rsid w:val="00AF46AD"/>
    <w:rsid w:val="00AF63E1"/>
    <w:rsid w:val="00AF64C7"/>
    <w:rsid w:val="00AF7165"/>
    <w:rsid w:val="00B00AEF"/>
    <w:rsid w:val="00B02425"/>
    <w:rsid w:val="00B0261D"/>
    <w:rsid w:val="00B0274A"/>
    <w:rsid w:val="00B02B1C"/>
    <w:rsid w:val="00B05AEF"/>
    <w:rsid w:val="00B07429"/>
    <w:rsid w:val="00B1328A"/>
    <w:rsid w:val="00B141F9"/>
    <w:rsid w:val="00B14F9F"/>
    <w:rsid w:val="00B160F1"/>
    <w:rsid w:val="00B162D9"/>
    <w:rsid w:val="00B21392"/>
    <w:rsid w:val="00B21ECF"/>
    <w:rsid w:val="00B237BA"/>
    <w:rsid w:val="00B23F6D"/>
    <w:rsid w:val="00B257F1"/>
    <w:rsid w:val="00B25A2A"/>
    <w:rsid w:val="00B26498"/>
    <w:rsid w:val="00B26E78"/>
    <w:rsid w:val="00B2729F"/>
    <w:rsid w:val="00B272D1"/>
    <w:rsid w:val="00B30C9B"/>
    <w:rsid w:val="00B314C8"/>
    <w:rsid w:val="00B3317B"/>
    <w:rsid w:val="00B33304"/>
    <w:rsid w:val="00B341A0"/>
    <w:rsid w:val="00B34382"/>
    <w:rsid w:val="00B34A6D"/>
    <w:rsid w:val="00B34D21"/>
    <w:rsid w:val="00B36BEB"/>
    <w:rsid w:val="00B4051D"/>
    <w:rsid w:val="00B40C2E"/>
    <w:rsid w:val="00B4166B"/>
    <w:rsid w:val="00B424E8"/>
    <w:rsid w:val="00B43961"/>
    <w:rsid w:val="00B44229"/>
    <w:rsid w:val="00B44B10"/>
    <w:rsid w:val="00B4517C"/>
    <w:rsid w:val="00B4547E"/>
    <w:rsid w:val="00B50A42"/>
    <w:rsid w:val="00B51221"/>
    <w:rsid w:val="00B51555"/>
    <w:rsid w:val="00B523BB"/>
    <w:rsid w:val="00B524C2"/>
    <w:rsid w:val="00B52D75"/>
    <w:rsid w:val="00B5536B"/>
    <w:rsid w:val="00B57C5A"/>
    <w:rsid w:val="00B639BE"/>
    <w:rsid w:val="00B64B53"/>
    <w:rsid w:val="00B66BF1"/>
    <w:rsid w:val="00B66FB5"/>
    <w:rsid w:val="00B70EAB"/>
    <w:rsid w:val="00B71496"/>
    <w:rsid w:val="00B729D9"/>
    <w:rsid w:val="00B72A61"/>
    <w:rsid w:val="00B72BD7"/>
    <w:rsid w:val="00B74D08"/>
    <w:rsid w:val="00B75944"/>
    <w:rsid w:val="00B77FDD"/>
    <w:rsid w:val="00B807E0"/>
    <w:rsid w:val="00B80908"/>
    <w:rsid w:val="00B82011"/>
    <w:rsid w:val="00B820F5"/>
    <w:rsid w:val="00B8212F"/>
    <w:rsid w:val="00B82433"/>
    <w:rsid w:val="00B84D9F"/>
    <w:rsid w:val="00B85B01"/>
    <w:rsid w:val="00B85E83"/>
    <w:rsid w:val="00B86132"/>
    <w:rsid w:val="00B8643C"/>
    <w:rsid w:val="00B86D07"/>
    <w:rsid w:val="00B87CB6"/>
    <w:rsid w:val="00B9054C"/>
    <w:rsid w:val="00B90DDF"/>
    <w:rsid w:val="00B94AD3"/>
    <w:rsid w:val="00B94C6A"/>
    <w:rsid w:val="00B965C1"/>
    <w:rsid w:val="00B96EF1"/>
    <w:rsid w:val="00B97384"/>
    <w:rsid w:val="00BA0CC1"/>
    <w:rsid w:val="00BA0CC7"/>
    <w:rsid w:val="00BA200E"/>
    <w:rsid w:val="00BA32F8"/>
    <w:rsid w:val="00BA413B"/>
    <w:rsid w:val="00BA43AD"/>
    <w:rsid w:val="00BA46A3"/>
    <w:rsid w:val="00BA535D"/>
    <w:rsid w:val="00BA5C7E"/>
    <w:rsid w:val="00BA734C"/>
    <w:rsid w:val="00BA788A"/>
    <w:rsid w:val="00BB0233"/>
    <w:rsid w:val="00BB07B9"/>
    <w:rsid w:val="00BB1160"/>
    <w:rsid w:val="00BB263D"/>
    <w:rsid w:val="00BB2836"/>
    <w:rsid w:val="00BB7472"/>
    <w:rsid w:val="00BB775E"/>
    <w:rsid w:val="00BC032E"/>
    <w:rsid w:val="00BC16D8"/>
    <w:rsid w:val="00BC2DDC"/>
    <w:rsid w:val="00BC36C1"/>
    <w:rsid w:val="00BC4012"/>
    <w:rsid w:val="00BC592C"/>
    <w:rsid w:val="00BC5A97"/>
    <w:rsid w:val="00BC6093"/>
    <w:rsid w:val="00BD124A"/>
    <w:rsid w:val="00BD1DFB"/>
    <w:rsid w:val="00BD26CD"/>
    <w:rsid w:val="00BD30A8"/>
    <w:rsid w:val="00BD326E"/>
    <w:rsid w:val="00BD4340"/>
    <w:rsid w:val="00BD4F52"/>
    <w:rsid w:val="00BD56BE"/>
    <w:rsid w:val="00BD7188"/>
    <w:rsid w:val="00BD73C1"/>
    <w:rsid w:val="00BE02BF"/>
    <w:rsid w:val="00BE11CC"/>
    <w:rsid w:val="00BE5136"/>
    <w:rsid w:val="00BE5291"/>
    <w:rsid w:val="00BE6F31"/>
    <w:rsid w:val="00BE79D2"/>
    <w:rsid w:val="00BE7C15"/>
    <w:rsid w:val="00BF14CE"/>
    <w:rsid w:val="00BF1ADA"/>
    <w:rsid w:val="00BF1D1C"/>
    <w:rsid w:val="00BF2B46"/>
    <w:rsid w:val="00BF2C11"/>
    <w:rsid w:val="00BF320D"/>
    <w:rsid w:val="00BF37CB"/>
    <w:rsid w:val="00BF38BD"/>
    <w:rsid w:val="00BF3B82"/>
    <w:rsid w:val="00BF4D8D"/>
    <w:rsid w:val="00BF4F82"/>
    <w:rsid w:val="00BF5ED6"/>
    <w:rsid w:val="00BF615C"/>
    <w:rsid w:val="00BF628F"/>
    <w:rsid w:val="00BF69DF"/>
    <w:rsid w:val="00C00AEB"/>
    <w:rsid w:val="00C016C2"/>
    <w:rsid w:val="00C0349B"/>
    <w:rsid w:val="00C03678"/>
    <w:rsid w:val="00C0535F"/>
    <w:rsid w:val="00C05724"/>
    <w:rsid w:val="00C060D0"/>
    <w:rsid w:val="00C11DDB"/>
    <w:rsid w:val="00C12259"/>
    <w:rsid w:val="00C1721B"/>
    <w:rsid w:val="00C20EF1"/>
    <w:rsid w:val="00C21B59"/>
    <w:rsid w:val="00C23895"/>
    <w:rsid w:val="00C23988"/>
    <w:rsid w:val="00C25AFE"/>
    <w:rsid w:val="00C26029"/>
    <w:rsid w:val="00C26066"/>
    <w:rsid w:val="00C2658B"/>
    <w:rsid w:val="00C27C5B"/>
    <w:rsid w:val="00C27F9A"/>
    <w:rsid w:val="00C316F5"/>
    <w:rsid w:val="00C3200F"/>
    <w:rsid w:val="00C33AF1"/>
    <w:rsid w:val="00C34439"/>
    <w:rsid w:val="00C346FF"/>
    <w:rsid w:val="00C3494E"/>
    <w:rsid w:val="00C4001E"/>
    <w:rsid w:val="00C402BB"/>
    <w:rsid w:val="00C404CD"/>
    <w:rsid w:val="00C430B8"/>
    <w:rsid w:val="00C434C0"/>
    <w:rsid w:val="00C455A9"/>
    <w:rsid w:val="00C45C15"/>
    <w:rsid w:val="00C46C82"/>
    <w:rsid w:val="00C509DE"/>
    <w:rsid w:val="00C51345"/>
    <w:rsid w:val="00C51B42"/>
    <w:rsid w:val="00C51C21"/>
    <w:rsid w:val="00C51F2E"/>
    <w:rsid w:val="00C53D0E"/>
    <w:rsid w:val="00C53DF9"/>
    <w:rsid w:val="00C5600D"/>
    <w:rsid w:val="00C57EFA"/>
    <w:rsid w:val="00C61EED"/>
    <w:rsid w:val="00C6241F"/>
    <w:rsid w:val="00C628D2"/>
    <w:rsid w:val="00C63916"/>
    <w:rsid w:val="00C63E8B"/>
    <w:rsid w:val="00C6459E"/>
    <w:rsid w:val="00C6745D"/>
    <w:rsid w:val="00C7182A"/>
    <w:rsid w:val="00C71EF8"/>
    <w:rsid w:val="00C722C5"/>
    <w:rsid w:val="00C726C7"/>
    <w:rsid w:val="00C74E6E"/>
    <w:rsid w:val="00C75AD0"/>
    <w:rsid w:val="00C77740"/>
    <w:rsid w:val="00C8099C"/>
    <w:rsid w:val="00C80C47"/>
    <w:rsid w:val="00C80DF2"/>
    <w:rsid w:val="00C81654"/>
    <w:rsid w:val="00C82A6E"/>
    <w:rsid w:val="00C8469F"/>
    <w:rsid w:val="00C85AAF"/>
    <w:rsid w:val="00C86CAD"/>
    <w:rsid w:val="00C87565"/>
    <w:rsid w:val="00C90362"/>
    <w:rsid w:val="00C9309C"/>
    <w:rsid w:val="00C9344D"/>
    <w:rsid w:val="00C938FB"/>
    <w:rsid w:val="00C93BB2"/>
    <w:rsid w:val="00C9435F"/>
    <w:rsid w:val="00C954D9"/>
    <w:rsid w:val="00C9563B"/>
    <w:rsid w:val="00C9718C"/>
    <w:rsid w:val="00CA05F9"/>
    <w:rsid w:val="00CA1461"/>
    <w:rsid w:val="00CA233F"/>
    <w:rsid w:val="00CA2893"/>
    <w:rsid w:val="00CA2F2F"/>
    <w:rsid w:val="00CA3D3B"/>
    <w:rsid w:val="00CA4699"/>
    <w:rsid w:val="00CA4B6C"/>
    <w:rsid w:val="00CA5D85"/>
    <w:rsid w:val="00CA638B"/>
    <w:rsid w:val="00CA6FC7"/>
    <w:rsid w:val="00CA7E1D"/>
    <w:rsid w:val="00CB1819"/>
    <w:rsid w:val="00CB29BA"/>
    <w:rsid w:val="00CB2BB8"/>
    <w:rsid w:val="00CB40D3"/>
    <w:rsid w:val="00CB563C"/>
    <w:rsid w:val="00CB6831"/>
    <w:rsid w:val="00CB684A"/>
    <w:rsid w:val="00CB74C7"/>
    <w:rsid w:val="00CB7A48"/>
    <w:rsid w:val="00CC2153"/>
    <w:rsid w:val="00CC286C"/>
    <w:rsid w:val="00CC290E"/>
    <w:rsid w:val="00CC2CD5"/>
    <w:rsid w:val="00CC3A08"/>
    <w:rsid w:val="00CC3E96"/>
    <w:rsid w:val="00CC5237"/>
    <w:rsid w:val="00CC59B9"/>
    <w:rsid w:val="00CC65F3"/>
    <w:rsid w:val="00CD0A46"/>
    <w:rsid w:val="00CD0CCE"/>
    <w:rsid w:val="00CD1063"/>
    <w:rsid w:val="00CD14EB"/>
    <w:rsid w:val="00CD16A4"/>
    <w:rsid w:val="00CD1777"/>
    <w:rsid w:val="00CD2936"/>
    <w:rsid w:val="00CD2C49"/>
    <w:rsid w:val="00CD4FC7"/>
    <w:rsid w:val="00CD7213"/>
    <w:rsid w:val="00CD7481"/>
    <w:rsid w:val="00CE1FC9"/>
    <w:rsid w:val="00CE363D"/>
    <w:rsid w:val="00CE4A46"/>
    <w:rsid w:val="00CE5F8F"/>
    <w:rsid w:val="00CE6091"/>
    <w:rsid w:val="00CE68C0"/>
    <w:rsid w:val="00CE6D9D"/>
    <w:rsid w:val="00CE6F14"/>
    <w:rsid w:val="00CE6F23"/>
    <w:rsid w:val="00CE7234"/>
    <w:rsid w:val="00CF2415"/>
    <w:rsid w:val="00CF4501"/>
    <w:rsid w:val="00CF4825"/>
    <w:rsid w:val="00CF4CB2"/>
    <w:rsid w:val="00CF4E1E"/>
    <w:rsid w:val="00CF534D"/>
    <w:rsid w:val="00CF55FF"/>
    <w:rsid w:val="00CF56A4"/>
    <w:rsid w:val="00CF5DC0"/>
    <w:rsid w:val="00CF786B"/>
    <w:rsid w:val="00D02818"/>
    <w:rsid w:val="00D03071"/>
    <w:rsid w:val="00D039DB"/>
    <w:rsid w:val="00D0575F"/>
    <w:rsid w:val="00D06F43"/>
    <w:rsid w:val="00D1001A"/>
    <w:rsid w:val="00D10F03"/>
    <w:rsid w:val="00D11E14"/>
    <w:rsid w:val="00D12F95"/>
    <w:rsid w:val="00D14992"/>
    <w:rsid w:val="00D15284"/>
    <w:rsid w:val="00D173C1"/>
    <w:rsid w:val="00D216AC"/>
    <w:rsid w:val="00D2216F"/>
    <w:rsid w:val="00D23EB3"/>
    <w:rsid w:val="00D24A41"/>
    <w:rsid w:val="00D24DB1"/>
    <w:rsid w:val="00D268DA"/>
    <w:rsid w:val="00D27DD4"/>
    <w:rsid w:val="00D308BC"/>
    <w:rsid w:val="00D327CA"/>
    <w:rsid w:val="00D33AC0"/>
    <w:rsid w:val="00D33E3C"/>
    <w:rsid w:val="00D36315"/>
    <w:rsid w:val="00D37823"/>
    <w:rsid w:val="00D3789C"/>
    <w:rsid w:val="00D4363F"/>
    <w:rsid w:val="00D4422C"/>
    <w:rsid w:val="00D4581E"/>
    <w:rsid w:val="00D4780A"/>
    <w:rsid w:val="00D5037C"/>
    <w:rsid w:val="00D5135F"/>
    <w:rsid w:val="00D514C7"/>
    <w:rsid w:val="00D52A2D"/>
    <w:rsid w:val="00D53B44"/>
    <w:rsid w:val="00D5644F"/>
    <w:rsid w:val="00D56473"/>
    <w:rsid w:val="00D576CB"/>
    <w:rsid w:val="00D60780"/>
    <w:rsid w:val="00D6155E"/>
    <w:rsid w:val="00D61847"/>
    <w:rsid w:val="00D61982"/>
    <w:rsid w:val="00D6234B"/>
    <w:rsid w:val="00D6347A"/>
    <w:rsid w:val="00D64BFA"/>
    <w:rsid w:val="00D70F36"/>
    <w:rsid w:val="00D71A62"/>
    <w:rsid w:val="00D7218F"/>
    <w:rsid w:val="00D73A3E"/>
    <w:rsid w:val="00D749BF"/>
    <w:rsid w:val="00D753DA"/>
    <w:rsid w:val="00D756A7"/>
    <w:rsid w:val="00D774CF"/>
    <w:rsid w:val="00D77CD7"/>
    <w:rsid w:val="00D806FA"/>
    <w:rsid w:val="00D81A78"/>
    <w:rsid w:val="00D82C1D"/>
    <w:rsid w:val="00D82DAB"/>
    <w:rsid w:val="00D832F0"/>
    <w:rsid w:val="00D83433"/>
    <w:rsid w:val="00D8384A"/>
    <w:rsid w:val="00D83A3C"/>
    <w:rsid w:val="00D83F58"/>
    <w:rsid w:val="00D841EA"/>
    <w:rsid w:val="00D84746"/>
    <w:rsid w:val="00D850CB"/>
    <w:rsid w:val="00D875FE"/>
    <w:rsid w:val="00D90409"/>
    <w:rsid w:val="00D91202"/>
    <w:rsid w:val="00D91740"/>
    <w:rsid w:val="00D92DBB"/>
    <w:rsid w:val="00D92E91"/>
    <w:rsid w:val="00D93728"/>
    <w:rsid w:val="00D93C3A"/>
    <w:rsid w:val="00D94967"/>
    <w:rsid w:val="00D94FDA"/>
    <w:rsid w:val="00D95C9E"/>
    <w:rsid w:val="00D95DAA"/>
    <w:rsid w:val="00D9648C"/>
    <w:rsid w:val="00D9711C"/>
    <w:rsid w:val="00DA03DD"/>
    <w:rsid w:val="00DA12CE"/>
    <w:rsid w:val="00DA21E8"/>
    <w:rsid w:val="00DA265D"/>
    <w:rsid w:val="00DA2AFF"/>
    <w:rsid w:val="00DA47C4"/>
    <w:rsid w:val="00DA544B"/>
    <w:rsid w:val="00DA7BA3"/>
    <w:rsid w:val="00DB091E"/>
    <w:rsid w:val="00DB3364"/>
    <w:rsid w:val="00DB4043"/>
    <w:rsid w:val="00DB4941"/>
    <w:rsid w:val="00DB5677"/>
    <w:rsid w:val="00DB5A4C"/>
    <w:rsid w:val="00DB5A8D"/>
    <w:rsid w:val="00DB6C3A"/>
    <w:rsid w:val="00DC22F6"/>
    <w:rsid w:val="00DC454B"/>
    <w:rsid w:val="00DC4696"/>
    <w:rsid w:val="00DC63AE"/>
    <w:rsid w:val="00DC6DCE"/>
    <w:rsid w:val="00DD28E2"/>
    <w:rsid w:val="00DD2B4A"/>
    <w:rsid w:val="00DD3083"/>
    <w:rsid w:val="00DD30BB"/>
    <w:rsid w:val="00DD3933"/>
    <w:rsid w:val="00DD4FE9"/>
    <w:rsid w:val="00DD56BA"/>
    <w:rsid w:val="00DD783E"/>
    <w:rsid w:val="00DE0581"/>
    <w:rsid w:val="00DE09A0"/>
    <w:rsid w:val="00DE2F5F"/>
    <w:rsid w:val="00DE5FBB"/>
    <w:rsid w:val="00DE78A9"/>
    <w:rsid w:val="00DF2058"/>
    <w:rsid w:val="00DF3657"/>
    <w:rsid w:val="00DF4ACD"/>
    <w:rsid w:val="00DF4D14"/>
    <w:rsid w:val="00DF5AD1"/>
    <w:rsid w:val="00DF7C35"/>
    <w:rsid w:val="00E000C9"/>
    <w:rsid w:val="00E00AFD"/>
    <w:rsid w:val="00E00D5F"/>
    <w:rsid w:val="00E0265F"/>
    <w:rsid w:val="00E032D5"/>
    <w:rsid w:val="00E041DC"/>
    <w:rsid w:val="00E04B85"/>
    <w:rsid w:val="00E053D6"/>
    <w:rsid w:val="00E05F04"/>
    <w:rsid w:val="00E1081C"/>
    <w:rsid w:val="00E110CC"/>
    <w:rsid w:val="00E110D4"/>
    <w:rsid w:val="00E1182B"/>
    <w:rsid w:val="00E11E78"/>
    <w:rsid w:val="00E13B4B"/>
    <w:rsid w:val="00E1470B"/>
    <w:rsid w:val="00E14822"/>
    <w:rsid w:val="00E15DF2"/>
    <w:rsid w:val="00E16CAB"/>
    <w:rsid w:val="00E17E61"/>
    <w:rsid w:val="00E17E8B"/>
    <w:rsid w:val="00E20289"/>
    <w:rsid w:val="00E229DF"/>
    <w:rsid w:val="00E2331F"/>
    <w:rsid w:val="00E23867"/>
    <w:rsid w:val="00E23CC5"/>
    <w:rsid w:val="00E25224"/>
    <w:rsid w:val="00E25F87"/>
    <w:rsid w:val="00E27D0B"/>
    <w:rsid w:val="00E31D22"/>
    <w:rsid w:val="00E31DF9"/>
    <w:rsid w:val="00E321A4"/>
    <w:rsid w:val="00E325CF"/>
    <w:rsid w:val="00E328D3"/>
    <w:rsid w:val="00E3445B"/>
    <w:rsid w:val="00E34A8F"/>
    <w:rsid w:val="00E40559"/>
    <w:rsid w:val="00E430A7"/>
    <w:rsid w:val="00E4388F"/>
    <w:rsid w:val="00E43D87"/>
    <w:rsid w:val="00E45585"/>
    <w:rsid w:val="00E45643"/>
    <w:rsid w:val="00E47DF1"/>
    <w:rsid w:val="00E50240"/>
    <w:rsid w:val="00E50E98"/>
    <w:rsid w:val="00E511D4"/>
    <w:rsid w:val="00E516F0"/>
    <w:rsid w:val="00E5205D"/>
    <w:rsid w:val="00E5286F"/>
    <w:rsid w:val="00E52E30"/>
    <w:rsid w:val="00E541A1"/>
    <w:rsid w:val="00E55814"/>
    <w:rsid w:val="00E562B3"/>
    <w:rsid w:val="00E57DAB"/>
    <w:rsid w:val="00E61AF6"/>
    <w:rsid w:val="00E631A0"/>
    <w:rsid w:val="00E636C2"/>
    <w:rsid w:val="00E64374"/>
    <w:rsid w:val="00E64DD2"/>
    <w:rsid w:val="00E64F19"/>
    <w:rsid w:val="00E64F7C"/>
    <w:rsid w:val="00E657A1"/>
    <w:rsid w:val="00E65899"/>
    <w:rsid w:val="00E676BC"/>
    <w:rsid w:val="00E706F6"/>
    <w:rsid w:val="00E70A0D"/>
    <w:rsid w:val="00E71200"/>
    <w:rsid w:val="00E72667"/>
    <w:rsid w:val="00E73097"/>
    <w:rsid w:val="00E7775D"/>
    <w:rsid w:val="00E80231"/>
    <w:rsid w:val="00E802DC"/>
    <w:rsid w:val="00E8067E"/>
    <w:rsid w:val="00E81413"/>
    <w:rsid w:val="00E84CD3"/>
    <w:rsid w:val="00E85E9D"/>
    <w:rsid w:val="00E902A1"/>
    <w:rsid w:val="00E906DD"/>
    <w:rsid w:val="00E91565"/>
    <w:rsid w:val="00E92827"/>
    <w:rsid w:val="00E92F7F"/>
    <w:rsid w:val="00E9355A"/>
    <w:rsid w:val="00E97163"/>
    <w:rsid w:val="00E97208"/>
    <w:rsid w:val="00EA067F"/>
    <w:rsid w:val="00EA330A"/>
    <w:rsid w:val="00EA4295"/>
    <w:rsid w:val="00EB0170"/>
    <w:rsid w:val="00EB0E8B"/>
    <w:rsid w:val="00EB3915"/>
    <w:rsid w:val="00EB3C74"/>
    <w:rsid w:val="00EB3CEF"/>
    <w:rsid w:val="00EB3EEB"/>
    <w:rsid w:val="00EB59F2"/>
    <w:rsid w:val="00EB5C20"/>
    <w:rsid w:val="00EC0381"/>
    <w:rsid w:val="00EC06AF"/>
    <w:rsid w:val="00EC347F"/>
    <w:rsid w:val="00EC3D75"/>
    <w:rsid w:val="00EC43DD"/>
    <w:rsid w:val="00EC5917"/>
    <w:rsid w:val="00EC5C46"/>
    <w:rsid w:val="00EC5E1D"/>
    <w:rsid w:val="00EC6070"/>
    <w:rsid w:val="00ED207A"/>
    <w:rsid w:val="00ED25BF"/>
    <w:rsid w:val="00ED288B"/>
    <w:rsid w:val="00ED4F12"/>
    <w:rsid w:val="00ED6921"/>
    <w:rsid w:val="00ED71EB"/>
    <w:rsid w:val="00ED7AE5"/>
    <w:rsid w:val="00EE2B83"/>
    <w:rsid w:val="00EE5A50"/>
    <w:rsid w:val="00EE6B14"/>
    <w:rsid w:val="00EE6F88"/>
    <w:rsid w:val="00EE757D"/>
    <w:rsid w:val="00EF0228"/>
    <w:rsid w:val="00EF1EC7"/>
    <w:rsid w:val="00EF24BD"/>
    <w:rsid w:val="00EF34A5"/>
    <w:rsid w:val="00EF34A8"/>
    <w:rsid w:val="00EF34BA"/>
    <w:rsid w:val="00EF49C7"/>
    <w:rsid w:val="00EF6687"/>
    <w:rsid w:val="00EF682F"/>
    <w:rsid w:val="00F00BFB"/>
    <w:rsid w:val="00F0199E"/>
    <w:rsid w:val="00F02401"/>
    <w:rsid w:val="00F02600"/>
    <w:rsid w:val="00F045D8"/>
    <w:rsid w:val="00F04707"/>
    <w:rsid w:val="00F04D72"/>
    <w:rsid w:val="00F06E71"/>
    <w:rsid w:val="00F10E4E"/>
    <w:rsid w:val="00F11AB5"/>
    <w:rsid w:val="00F12CE6"/>
    <w:rsid w:val="00F12FE3"/>
    <w:rsid w:val="00F139CB"/>
    <w:rsid w:val="00F13C2B"/>
    <w:rsid w:val="00F14A69"/>
    <w:rsid w:val="00F14B43"/>
    <w:rsid w:val="00F15460"/>
    <w:rsid w:val="00F1555F"/>
    <w:rsid w:val="00F15AD6"/>
    <w:rsid w:val="00F16985"/>
    <w:rsid w:val="00F16DEF"/>
    <w:rsid w:val="00F1737B"/>
    <w:rsid w:val="00F20790"/>
    <w:rsid w:val="00F21789"/>
    <w:rsid w:val="00F23862"/>
    <w:rsid w:val="00F25D72"/>
    <w:rsid w:val="00F26EFA"/>
    <w:rsid w:val="00F34365"/>
    <w:rsid w:val="00F35D0D"/>
    <w:rsid w:val="00F36A8A"/>
    <w:rsid w:val="00F4092E"/>
    <w:rsid w:val="00F40ACA"/>
    <w:rsid w:val="00F42795"/>
    <w:rsid w:val="00F42900"/>
    <w:rsid w:val="00F458B4"/>
    <w:rsid w:val="00F45C6C"/>
    <w:rsid w:val="00F51D7A"/>
    <w:rsid w:val="00F528F5"/>
    <w:rsid w:val="00F54418"/>
    <w:rsid w:val="00F550F6"/>
    <w:rsid w:val="00F553C4"/>
    <w:rsid w:val="00F5659D"/>
    <w:rsid w:val="00F56B23"/>
    <w:rsid w:val="00F56C19"/>
    <w:rsid w:val="00F61E67"/>
    <w:rsid w:val="00F6253A"/>
    <w:rsid w:val="00F62DC6"/>
    <w:rsid w:val="00F634EF"/>
    <w:rsid w:val="00F64DFB"/>
    <w:rsid w:val="00F659D2"/>
    <w:rsid w:val="00F65F2C"/>
    <w:rsid w:val="00F66595"/>
    <w:rsid w:val="00F704FD"/>
    <w:rsid w:val="00F70E88"/>
    <w:rsid w:val="00F717A0"/>
    <w:rsid w:val="00F71F42"/>
    <w:rsid w:val="00F74598"/>
    <w:rsid w:val="00F74F8F"/>
    <w:rsid w:val="00F75B63"/>
    <w:rsid w:val="00F75C19"/>
    <w:rsid w:val="00F76A6F"/>
    <w:rsid w:val="00F77D11"/>
    <w:rsid w:val="00F80C95"/>
    <w:rsid w:val="00F80D20"/>
    <w:rsid w:val="00F81DBB"/>
    <w:rsid w:val="00F82013"/>
    <w:rsid w:val="00F82B1D"/>
    <w:rsid w:val="00F82C3A"/>
    <w:rsid w:val="00F8304E"/>
    <w:rsid w:val="00F84162"/>
    <w:rsid w:val="00F84778"/>
    <w:rsid w:val="00F86C08"/>
    <w:rsid w:val="00F87D35"/>
    <w:rsid w:val="00F91EA2"/>
    <w:rsid w:val="00F93AFB"/>
    <w:rsid w:val="00F9423F"/>
    <w:rsid w:val="00F944EA"/>
    <w:rsid w:val="00F97AA9"/>
    <w:rsid w:val="00FA1292"/>
    <w:rsid w:val="00FA1947"/>
    <w:rsid w:val="00FA28D2"/>
    <w:rsid w:val="00FA3701"/>
    <w:rsid w:val="00FA3F54"/>
    <w:rsid w:val="00FA4045"/>
    <w:rsid w:val="00FA4664"/>
    <w:rsid w:val="00FA4F04"/>
    <w:rsid w:val="00FA5B64"/>
    <w:rsid w:val="00FA5FCE"/>
    <w:rsid w:val="00FA6EF9"/>
    <w:rsid w:val="00FA7501"/>
    <w:rsid w:val="00FB0534"/>
    <w:rsid w:val="00FB0BC9"/>
    <w:rsid w:val="00FB251A"/>
    <w:rsid w:val="00FB3186"/>
    <w:rsid w:val="00FB344C"/>
    <w:rsid w:val="00FB4097"/>
    <w:rsid w:val="00FB460D"/>
    <w:rsid w:val="00FB5C5B"/>
    <w:rsid w:val="00FB71E8"/>
    <w:rsid w:val="00FB790F"/>
    <w:rsid w:val="00FB7F00"/>
    <w:rsid w:val="00FC3BB3"/>
    <w:rsid w:val="00FC5D05"/>
    <w:rsid w:val="00FC6416"/>
    <w:rsid w:val="00FC6740"/>
    <w:rsid w:val="00FD0102"/>
    <w:rsid w:val="00FD0225"/>
    <w:rsid w:val="00FD07B4"/>
    <w:rsid w:val="00FD0D27"/>
    <w:rsid w:val="00FD1056"/>
    <w:rsid w:val="00FD1E4C"/>
    <w:rsid w:val="00FD2026"/>
    <w:rsid w:val="00FD21CE"/>
    <w:rsid w:val="00FD3A8B"/>
    <w:rsid w:val="00FD3C98"/>
    <w:rsid w:val="00FD3FF5"/>
    <w:rsid w:val="00FD54B8"/>
    <w:rsid w:val="00FD61AA"/>
    <w:rsid w:val="00FD649D"/>
    <w:rsid w:val="00FD676F"/>
    <w:rsid w:val="00FD792D"/>
    <w:rsid w:val="00FE2926"/>
    <w:rsid w:val="00FE39FA"/>
    <w:rsid w:val="00FE3C15"/>
    <w:rsid w:val="00FE4418"/>
    <w:rsid w:val="00FF10FC"/>
    <w:rsid w:val="00FF1504"/>
    <w:rsid w:val="00FF15D4"/>
    <w:rsid w:val="00FF2257"/>
    <w:rsid w:val="00FF2736"/>
    <w:rsid w:val="00FF73B1"/>
    <w:rsid w:val="00FF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1F42E"/>
  <w15:chartTrackingRefBased/>
  <w15:docId w15:val="{78764CDB-40BF-4A2B-9F7D-440DD7B9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43"/>
  </w:style>
  <w:style w:type="paragraph" w:styleId="Heading1">
    <w:name w:val="heading 1"/>
    <w:basedOn w:val="Normal"/>
    <w:next w:val="Normal"/>
    <w:link w:val="Heading1Char"/>
    <w:qFormat/>
    <w:rsid w:val="00AE6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D7481"/>
    <w:pPr>
      <w:keepNext/>
      <w:spacing w:after="0" w:line="360" w:lineRule="auto"/>
      <w:jc w:val="center"/>
      <w:outlineLvl w:val="1"/>
    </w:pPr>
    <w:rPr>
      <w:rFonts w:ascii="Book Antiqua" w:eastAsia="MS Mincho" w:hAnsi="Book Antiqua" w:cs="Angsana New"/>
      <w:b/>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8DF"/>
    <w:rPr>
      <w:color w:val="0000FF"/>
      <w:u w:val="single"/>
    </w:rPr>
  </w:style>
  <w:style w:type="paragraph" w:styleId="BalloonText">
    <w:name w:val="Balloon Text"/>
    <w:basedOn w:val="Normal"/>
    <w:link w:val="BalloonTextChar"/>
    <w:uiPriority w:val="99"/>
    <w:semiHidden/>
    <w:unhideWhenUsed/>
    <w:rsid w:val="00D61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982"/>
    <w:rPr>
      <w:rFonts w:ascii="Segoe UI" w:hAnsi="Segoe UI" w:cs="Segoe UI"/>
      <w:sz w:val="18"/>
      <w:szCs w:val="18"/>
    </w:rPr>
  </w:style>
  <w:style w:type="paragraph" w:styleId="ListParagraph">
    <w:name w:val="List Paragraph"/>
    <w:basedOn w:val="Normal"/>
    <w:link w:val="ListParagraphChar"/>
    <w:uiPriority w:val="34"/>
    <w:qFormat/>
    <w:rsid w:val="00C402BB"/>
    <w:pPr>
      <w:ind w:left="720"/>
      <w:contextualSpacing/>
    </w:pPr>
  </w:style>
  <w:style w:type="character" w:styleId="FollowedHyperlink">
    <w:name w:val="FollowedHyperlink"/>
    <w:basedOn w:val="DefaultParagraphFont"/>
    <w:uiPriority w:val="99"/>
    <w:semiHidden/>
    <w:unhideWhenUsed/>
    <w:rsid w:val="00664D9A"/>
    <w:rPr>
      <w:color w:val="954F72" w:themeColor="followedHyperlink"/>
      <w:u w:val="single"/>
    </w:rPr>
  </w:style>
  <w:style w:type="paragraph" w:styleId="BodyText">
    <w:name w:val="Body Text"/>
    <w:basedOn w:val="Normal"/>
    <w:link w:val="BodyTextChar"/>
    <w:rsid w:val="0035564E"/>
    <w:pPr>
      <w:spacing w:after="120" w:line="340" w:lineRule="atLeast"/>
      <w:jc w:val="center"/>
    </w:pPr>
    <w:rPr>
      <w:rFonts w:ascii="Times New Roman" w:eastAsia="Malgun Gothic" w:hAnsi="Times New Roman" w:cs="Tahoma"/>
      <w:b/>
      <w:bCs/>
      <w:sz w:val="24"/>
      <w:lang w:eastAsia="en-US"/>
    </w:rPr>
  </w:style>
  <w:style w:type="character" w:customStyle="1" w:styleId="BodyTextChar">
    <w:name w:val="Body Text Char"/>
    <w:basedOn w:val="DefaultParagraphFont"/>
    <w:link w:val="BodyText"/>
    <w:uiPriority w:val="99"/>
    <w:rsid w:val="0035564E"/>
    <w:rPr>
      <w:rFonts w:ascii="Times New Roman" w:eastAsia="Malgun Gothic" w:hAnsi="Times New Roman" w:cs="Tahoma"/>
      <w:b/>
      <w:bCs/>
      <w:sz w:val="24"/>
      <w:lang w:eastAsia="en-US"/>
    </w:rPr>
  </w:style>
  <w:style w:type="paragraph" w:styleId="TOC1">
    <w:name w:val="toc 1"/>
    <w:basedOn w:val="Normal"/>
    <w:next w:val="Normal"/>
    <w:autoRedefine/>
    <w:uiPriority w:val="39"/>
    <w:qFormat/>
    <w:rsid w:val="00CB6831"/>
    <w:pPr>
      <w:tabs>
        <w:tab w:val="left" w:pos="480"/>
        <w:tab w:val="right" w:leader="dot" w:pos="8931"/>
      </w:tabs>
      <w:topLinePunct/>
      <w:spacing w:before="120" w:after="0" w:line="240" w:lineRule="atLeast"/>
      <w:ind w:left="1080" w:right="450" w:hanging="720"/>
    </w:pPr>
    <w:rPr>
      <w:rFonts w:ascii="Book Antiqua" w:eastAsia="SimSun" w:hAnsi="Book Antiqua" w:cs="Times New Roman"/>
      <w:b/>
      <w:bCs/>
      <w:iCs/>
      <w:noProof/>
      <w:szCs w:val="25"/>
      <w:lang w:eastAsia="ko-KR"/>
    </w:rPr>
  </w:style>
  <w:style w:type="paragraph" w:styleId="Header">
    <w:name w:val="header"/>
    <w:basedOn w:val="Normal"/>
    <w:link w:val="HeaderChar"/>
    <w:rsid w:val="00F81DBB"/>
    <w:pPr>
      <w:tabs>
        <w:tab w:val="center" w:pos="4320"/>
        <w:tab w:val="right" w:pos="8640"/>
      </w:tabs>
      <w:spacing w:after="120" w:line="340" w:lineRule="atLeast"/>
      <w:jc w:val="both"/>
    </w:pPr>
    <w:rPr>
      <w:rFonts w:ascii="Times New Roman" w:eastAsia="Malgun Gothic" w:hAnsi="Times New Roman" w:cs="Angsana New"/>
      <w:sz w:val="24"/>
      <w:szCs w:val="24"/>
      <w:lang w:eastAsia="en-US"/>
    </w:rPr>
  </w:style>
  <w:style w:type="character" w:customStyle="1" w:styleId="HeaderChar">
    <w:name w:val="Header Char"/>
    <w:basedOn w:val="DefaultParagraphFont"/>
    <w:link w:val="Header"/>
    <w:rsid w:val="00F81DBB"/>
    <w:rPr>
      <w:rFonts w:ascii="Times New Roman" w:eastAsia="Malgun Gothic" w:hAnsi="Times New Roman" w:cs="Angsana New"/>
      <w:sz w:val="24"/>
      <w:szCs w:val="24"/>
      <w:lang w:eastAsia="en-US"/>
    </w:rPr>
  </w:style>
  <w:style w:type="character" w:styleId="FootnoteReference">
    <w:name w:val="footnote reference"/>
    <w:basedOn w:val="DefaultParagraphFont"/>
    <w:uiPriority w:val="99"/>
    <w:rsid w:val="000F5A86"/>
    <w:rPr>
      <w:rFonts w:cs="Times New Roman"/>
      <w:vertAlign w:val="superscript"/>
    </w:rPr>
  </w:style>
  <w:style w:type="paragraph" w:styleId="FootnoteText">
    <w:name w:val="footnote text"/>
    <w:basedOn w:val="Normal"/>
    <w:link w:val="FootnoteTextChar"/>
    <w:uiPriority w:val="99"/>
    <w:rsid w:val="00D2216F"/>
    <w:pPr>
      <w:spacing w:after="0" w:line="340" w:lineRule="atLeast"/>
      <w:ind w:left="187" w:hanging="187"/>
      <w:jc w:val="both"/>
    </w:pPr>
    <w:rPr>
      <w:rFonts w:ascii="Arial" w:eastAsia="Malgun Gothic" w:hAnsi="Arial" w:cs="Times New Roman"/>
      <w:color w:val="000000"/>
      <w:sz w:val="18"/>
      <w:szCs w:val="20"/>
      <w:lang w:eastAsia="en-US"/>
    </w:rPr>
  </w:style>
  <w:style w:type="character" w:customStyle="1" w:styleId="FootnoteTextChar">
    <w:name w:val="Footnote Text Char"/>
    <w:basedOn w:val="DefaultParagraphFont"/>
    <w:link w:val="FootnoteText"/>
    <w:uiPriority w:val="99"/>
    <w:rsid w:val="00D2216F"/>
    <w:rPr>
      <w:rFonts w:ascii="Arial" w:eastAsia="Malgun Gothic" w:hAnsi="Arial" w:cs="Times New Roman"/>
      <w:color w:val="000000"/>
      <w:sz w:val="18"/>
      <w:szCs w:val="20"/>
      <w:lang w:eastAsia="en-US"/>
    </w:rPr>
  </w:style>
  <w:style w:type="paragraph" w:customStyle="1" w:styleId="headerforprojectdocument">
    <w:name w:val="header for project document"/>
    <w:basedOn w:val="Normal"/>
    <w:autoRedefine/>
    <w:uiPriority w:val="99"/>
    <w:rsid w:val="000F5A86"/>
    <w:pPr>
      <w:numPr>
        <w:numId w:val="3"/>
      </w:numPr>
      <w:snapToGrid w:val="0"/>
      <w:spacing w:after="120" w:line="340" w:lineRule="atLeast"/>
      <w:jc w:val="both"/>
    </w:pPr>
    <w:rPr>
      <w:rFonts w:ascii="Book Antiqua" w:eastAsia="Malgun Gothic" w:hAnsi="Book Antiqua" w:cs="Arial"/>
      <w:b/>
      <w:bCs/>
      <w:caps/>
      <w:lang w:eastAsia="ko-KR"/>
    </w:rPr>
  </w:style>
  <w:style w:type="character" w:customStyle="1" w:styleId="ListParagraphChar">
    <w:name w:val="List Paragraph Char"/>
    <w:basedOn w:val="DefaultParagraphFont"/>
    <w:link w:val="ListParagraph"/>
    <w:uiPriority w:val="34"/>
    <w:rsid w:val="000A3164"/>
  </w:style>
  <w:style w:type="table" w:styleId="TableGrid">
    <w:name w:val="Table Grid"/>
    <w:basedOn w:val="TableNormal"/>
    <w:uiPriority w:val="39"/>
    <w:rsid w:val="005C5CEA"/>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CEA"/>
  </w:style>
  <w:style w:type="character" w:styleId="UnresolvedMention">
    <w:name w:val="Unresolved Mention"/>
    <w:basedOn w:val="DefaultParagraphFont"/>
    <w:uiPriority w:val="99"/>
    <w:semiHidden/>
    <w:unhideWhenUsed/>
    <w:rsid w:val="00AF7165"/>
    <w:rPr>
      <w:color w:val="605E5C"/>
      <w:shd w:val="clear" w:color="auto" w:fill="E1DFDD"/>
    </w:rPr>
  </w:style>
  <w:style w:type="character" w:styleId="CommentReference">
    <w:name w:val="annotation reference"/>
    <w:basedOn w:val="DefaultParagraphFont"/>
    <w:uiPriority w:val="99"/>
    <w:semiHidden/>
    <w:unhideWhenUsed/>
    <w:rsid w:val="009F5280"/>
    <w:rPr>
      <w:sz w:val="16"/>
      <w:szCs w:val="16"/>
    </w:rPr>
  </w:style>
  <w:style w:type="paragraph" w:styleId="CommentText">
    <w:name w:val="annotation text"/>
    <w:basedOn w:val="Normal"/>
    <w:link w:val="CommentTextChar"/>
    <w:uiPriority w:val="99"/>
    <w:semiHidden/>
    <w:unhideWhenUsed/>
    <w:rsid w:val="009F5280"/>
    <w:pPr>
      <w:spacing w:line="240" w:lineRule="auto"/>
    </w:pPr>
    <w:rPr>
      <w:sz w:val="20"/>
      <w:szCs w:val="20"/>
    </w:rPr>
  </w:style>
  <w:style w:type="character" w:customStyle="1" w:styleId="CommentTextChar">
    <w:name w:val="Comment Text Char"/>
    <w:basedOn w:val="DefaultParagraphFont"/>
    <w:link w:val="CommentText"/>
    <w:uiPriority w:val="99"/>
    <w:semiHidden/>
    <w:rsid w:val="009F5280"/>
    <w:rPr>
      <w:sz w:val="20"/>
      <w:szCs w:val="20"/>
    </w:rPr>
  </w:style>
  <w:style w:type="paragraph" w:styleId="CommentSubject">
    <w:name w:val="annotation subject"/>
    <w:basedOn w:val="CommentText"/>
    <w:next w:val="CommentText"/>
    <w:link w:val="CommentSubjectChar"/>
    <w:uiPriority w:val="99"/>
    <w:semiHidden/>
    <w:unhideWhenUsed/>
    <w:rsid w:val="009F5280"/>
    <w:rPr>
      <w:b/>
      <w:bCs/>
    </w:rPr>
  </w:style>
  <w:style w:type="character" w:customStyle="1" w:styleId="CommentSubjectChar">
    <w:name w:val="Comment Subject Char"/>
    <w:basedOn w:val="CommentTextChar"/>
    <w:link w:val="CommentSubject"/>
    <w:uiPriority w:val="99"/>
    <w:semiHidden/>
    <w:rsid w:val="009F5280"/>
    <w:rPr>
      <w:b/>
      <w:bCs/>
      <w:sz w:val="20"/>
      <w:szCs w:val="20"/>
    </w:rPr>
  </w:style>
  <w:style w:type="paragraph" w:styleId="Revision">
    <w:name w:val="Revision"/>
    <w:hidden/>
    <w:uiPriority w:val="99"/>
    <w:semiHidden/>
    <w:rsid w:val="009F5280"/>
    <w:pPr>
      <w:spacing w:after="0" w:line="240" w:lineRule="auto"/>
    </w:pPr>
  </w:style>
  <w:style w:type="character" w:customStyle="1" w:styleId="Heading1Char">
    <w:name w:val="Heading 1 Char"/>
    <w:basedOn w:val="DefaultParagraphFont"/>
    <w:link w:val="Heading1"/>
    <w:uiPriority w:val="9"/>
    <w:rsid w:val="00AE6F7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6F76"/>
    <w:pPr>
      <w:outlineLvl w:val="9"/>
    </w:pPr>
    <w:rPr>
      <w:lang w:eastAsia="en-US"/>
    </w:rPr>
  </w:style>
  <w:style w:type="table" w:customStyle="1" w:styleId="TableGrid1">
    <w:name w:val="Table Grid1"/>
    <w:basedOn w:val="TableNormal"/>
    <w:next w:val="TableGrid"/>
    <w:uiPriority w:val="59"/>
    <w:rsid w:val="00D2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75A5C"/>
    <w:pPr>
      <w:spacing w:after="200" w:line="240" w:lineRule="auto"/>
    </w:pPr>
    <w:rPr>
      <w:i/>
      <w:iCs/>
      <w:color w:val="44546A" w:themeColor="text2"/>
      <w:sz w:val="18"/>
      <w:szCs w:val="18"/>
    </w:rPr>
  </w:style>
  <w:style w:type="character" w:customStyle="1" w:styleId="Heading2Char">
    <w:name w:val="Heading 2 Char"/>
    <w:basedOn w:val="DefaultParagraphFont"/>
    <w:link w:val="Heading2"/>
    <w:rsid w:val="00CD7481"/>
    <w:rPr>
      <w:rFonts w:ascii="Book Antiqua" w:eastAsia="MS Mincho" w:hAnsi="Book Antiqua" w:cs="Angsana New"/>
      <w:b/>
      <w:szCs w:val="24"/>
      <w:lang w:eastAsia="ja-JP"/>
    </w:rPr>
  </w:style>
  <w:style w:type="paragraph" w:styleId="BodyText2">
    <w:name w:val="Body Text 2"/>
    <w:basedOn w:val="Normal"/>
    <w:link w:val="BodyText2Char"/>
    <w:rsid w:val="00CD7481"/>
    <w:pPr>
      <w:spacing w:after="0" w:line="360" w:lineRule="auto"/>
      <w:jc w:val="center"/>
    </w:pPr>
    <w:rPr>
      <w:rFonts w:ascii="Times New Roman" w:eastAsia="MS Mincho" w:hAnsi="Times New Roman" w:cs="Angsana New"/>
      <w:sz w:val="24"/>
      <w:szCs w:val="24"/>
      <w:lang w:eastAsia="ja-JP"/>
    </w:rPr>
  </w:style>
  <w:style w:type="character" w:customStyle="1" w:styleId="BodyText2Char">
    <w:name w:val="Body Text 2 Char"/>
    <w:basedOn w:val="DefaultParagraphFont"/>
    <w:link w:val="BodyText2"/>
    <w:rsid w:val="00CD7481"/>
    <w:rPr>
      <w:rFonts w:ascii="Times New Roman" w:eastAsia="MS Mincho" w:hAnsi="Times New Roman" w:cs="Angsana New"/>
      <w:sz w:val="24"/>
      <w:szCs w:val="24"/>
      <w:lang w:eastAsia="ja-JP"/>
    </w:rPr>
  </w:style>
  <w:style w:type="paragraph" w:styleId="BodyText3">
    <w:name w:val="Body Text 3"/>
    <w:basedOn w:val="Normal"/>
    <w:link w:val="BodyText3Char"/>
    <w:rsid w:val="00CD7481"/>
    <w:pPr>
      <w:spacing w:after="0" w:line="360" w:lineRule="auto"/>
    </w:pPr>
    <w:rPr>
      <w:rFonts w:ascii="Book Antiqua" w:eastAsia="MS Mincho" w:hAnsi="Book Antiqua" w:cs="Angsana New"/>
      <w:szCs w:val="24"/>
      <w:lang w:eastAsia="ja-JP"/>
    </w:rPr>
  </w:style>
  <w:style w:type="character" w:customStyle="1" w:styleId="BodyText3Char">
    <w:name w:val="Body Text 3 Char"/>
    <w:basedOn w:val="DefaultParagraphFont"/>
    <w:link w:val="BodyText3"/>
    <w:rsid w:val="00CD7481"/>
    <w:rPr>
      <w:rFonts w:ascii="Book Antiqua" w:eastAsia="MS Mincho" w:hAnsi="Book Antiqua" w:cs="Angsana New"/>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1355">
      <w:bodyDiv w:val="1"/>
      <w:marLeft w:val="0"/>
      <w:marRight w:val="0"/>
      <w:marTop w:val="0"/>
      <w:marBottom w:val="0"/>
      <w:divBdr>
        <w:top w:val="none" w:sz="0" w:space="0" w:color="auto"/>
        <w:left w:val="none" w:sz="0" w:space="0" w:color="auto"/>
        <w:bottom w:val="none" w:sz="0" w:space="0" w:color="auto"/>
        <w:right w:val="none" w:sz="0" w:space="0" w:color="auto"/>
      </w:divBdr>
    </w:div>
    <w:div w:id="223493063">
      <w:bodyDiv w:val="1"/>
      <w:marLeft w:val="0"/>
      <w:marRight w:val="0"/>
      <w:marTop w:val="0"/>
      <w:marBottom w:val="0"/>
      <w:divBdr>
        <w:top w:val="none" w:sz="0" w:space="0" w:color="auto"/>
        <w:left w:val="none" w:sz="0" w:space="0" w:color="auto"/>
        <w:bottom w:val="none" w:sz="0" w:space="0" w:color="auto"/>
        <w:right w:val="none" w:sz="0" w:space="0" w:color="auto"/>
      </w:divBdr>
    </w:div>
    <w:div w:id="285504438">
      <w:bodyDiv w:val="1"/>
      <w:marLeft w:val="0"/>
      <w:marRight w:val="0"/>
      <w:marTop w:val="0"/>
      <w:marBottom w:val="0"/>
      <w:divBdr>
        <w:top w:val="none" w:sz="0" w:space="0" w:color="auto"/>
        <w:left w:val="none" w:sz="0" w:space="0" w:color="auto"/>
        <w:bottom w:val="none" w:sz="0" w:space="0" w:color="auto"/>
        <w:right w:val="none" w:sz="0" w:space="0" w:color="auto"/>
      </w:divBdr>
    </w:div>
    <w:div w:id="335497545">
      <w:bodyDiv w:val="1"/>
      <w:marLeft w:val="0"/>
      <w:marRight w:val="0"/>
      <w:marTop w:val="0"/>
      <w:marBottom w:val="0"/>
      <w:divBdr>
        <w:top w:val="none" w:sz="0" w:space="0" w:color="auto"/>
        <w:left w:val="none" w:sz="0" w:space="0" w:color="auto"/>
        <w:bottom w:val="none" w:sz="0" w:space="0" w:color="auto"/>
        <w:right w:val="none" w:sz="0" w:space="0" w:color="auto"/>
      </w:divBdr>
    </w:div>
    <w:div w:id="363746908">
      <w:bodyDiv w:val="1"/>
      <w:marLeft w:val="0"/>
      <w:marRight w:val="0"/>
      <w:marTop w:val="0"/>
      <w:marBottom w:val="0"/>
      <w:divBdr>
        <w:top w:val="none" w:sz="0" w:space="0" w:color="auto"/>
        <w:left w:val="none" w:sz="0" w:space="0" w:color="auto"/>
        <w:bottom w:val="none" w:sz="0" w:space="0" w:color="auto"/>
        <w:right w:val="none" w:sz="0" w:space="0" w:color="auto"/>
      </w:divBdr>
    </w:div>
    <w:div w:id="530461079">
      <w:bodyDiv w:val="1"/>
      <w:marLeft w:val="0"/>
      <w:marRight w:val="0"/>
      <w:marTop w:val="0"/>
      <w:marBottom w:val="0"/>
      <w:divBdr>
        <w:top w:val="none" w:sz="0" w:space="0" w:color="auto"/>
        <w:left w:val="none" w:sz="0" w:space="0" w:color="auto"/>
        <w:bottom w:val="none" w:sz="0" w:space="0" w:color="auto"/>
        <w:right w:val="none" w:sz="0" w:space="0" w:color="auto"/>
      </w:divBdr>
    </w:div>
    <w:div w:id="567303548">
      <w:bodyDiv w:val="1"/>
      <w:marLeft w:val="0"/>
      <w:marRight w:val="0"/>
      <w:marTop w:val="0"/>
      <w:marBottom w:val="0"/>
      <w:divBdr>
        <w:top w:val="none" w:sz="0" w:space="0" w:color="auto"/>
        <w:left w:val="none" w:sz="0" w:space="0" w:color="auto"/>
        <w:bottom w:val="none" w:sz="0" w:space="0" w:color="auto"/>
        <w:right w:val="none" w:sz="0" w:space="0" w:color="auto"/>
      </w:divBdr>
    </w:div>
    <w:div w:id="656030194">
      <w:bodyDiv w:val="1"/>
      <w:marLeft w:val="0"/>
      <w:marRight w:val="0"/>
      <w:marTop w:val="0"/>
      <w:marBottom w:val="0"/>
      <w:divBdr>
        <w:top w:val="none" w:sz="0" w:space="0" w:color="auto"/>
        <w:left w:val="none" w:sz="0" w:space="0" w:color="auto"/>
        <w:bottom w:val="none" w:sz="0" w:space="0" w:color="auto"/>
        <w:right w:val="none" w:sz="0" w:space="0" w:color="auto"/>
      </w:divBdr>
    </w:div>
    <w:div w:id="785002035">
      <w:bodyDiv w:val="1"/>
      <w:marLeft w:val="0"/>
      <w:marRight w:val="0"/>
      <w:marTop w:val="0"/>
      <w:marBottom w:val="0"/>
      <w:divBdr>
        <w:top w:val="none" w:sz="0" w:space="0" w:color="auto"/>
        <w:left w:val="none" w:sz="0" w:space="0" w:color="auto"/>
        <w:bottom w:val="none" w:sz="0" w:space="0" w:color="auto"/>
        <w:right w:val="none" w:sz="0" w:space="0" w:color="auto"/>
      </w:divBdr>
    </w:div>
    <w:div w:id="883248126">
      <w:bodyDiv w:val="1"/>
      <w:marLeft w:val="0"/>
      <w:marRight w:val="0"/>
      <w:marTop w:val="0"/>
      <w:marBottom w:val="0"/>
      <w:divBdr>
        <w:top w:val="none" w:sz="0" w:space="0" w:color="auto"/>
        <w:left w:val="none" w:sz="0" w:space="0" w:color="auto"/>
        <w:bottom w:val="none" w:sz="0" w:space="0" w:color="auto"/>
        <w:right w:val="none" w:sz="0" w:space="0" w:color="auto"/>
      </w:divBdr>
    </w:div>
    <w:div w:id="889074247">
      <w:bodyDiv w:val="1"/>
      <w:marLeft w:val="0"/>
      <w:marRight w:val="0"/>
      <w:marTop w:val="0"/>
      <w:marBottom w:val="0"/>
      <w:divBdr>
        <w:top w:val="none" w:sz="0" w:space="0" w:color="auto"/>
        <w:left w:val="none" w:sz="0" w:space="0" w:color="auto"/>
        <w:bottom w:val="none" w:sz="0" w:space="0" w:color="auto"/>
        <w:right w:val="none" w:sz="0" w:space="0" w:color="auto"/>
      </w:divBdr>
    </w:div>
    <w:div w:id="897017386">
      <w:bodyDiv w:val="1"/>
      <w:marLeft w:val="0"/>
      <w:marRight w:val="0"/>
      <w:marTop w:val="0"/>
      <w:marBottom w:val="0"/>
      <w:divBdr>
        <w:top w:val="none" w:sz="0" w:space="0" w:color="auto"/>
        <w:left w:val="none" w:sz="0" w:space="0" w:color="auto"/>
        <w:bottom w:val="none" w:sz="0" w:space="0" w:color="auto"/>
        <w:right w:val="none" w:sz="0" w:space="0" w:color="auto"/>
      </w:divBdr>
    </w:div>
    <w:div w:id="920800638">
      <w:bodyDiv w:val="1"/>
      <w:marLeft w:val="0"/>
      <w:marRight w:val="0"/>
      <w:marTop w:val="0"/>
      <w:marBottom w:val="0"/>
      <w:divBdr>
        <w:top w:val="none" w:sz="0" w:space="0" w:color="auto"/>
        <w:left w:val="none" w:sz="0" w:space="0" w:color="auto"/>
        <w:bottom w:val="none" w:sz="0" w:space="0" w:color="auto"/>
        <w:right w:val="none" w:sz="0" w:space="0" w:color="auto"/>
      </w:divBdr>
    </w:div>
    <w:div w:id="1027878144">
      <w:bodyDiv w:val="1"/>
      <w:marLeft w:val="0"/>
      <w:marRight w:val="0"/>
      <w:marTop w:val="0"/>
      <w:marBottom w:val="0"/>
      <w:divBdr>
        <w:top w:val="none" w:sz="0" w:space="0" w:color="auto"/>
        <w:left w:val="none" w:sz="0" w:space="0" w:color="auto"/>
        <w:bottom w:val="none" w:sz="0" w:space="0" w:color="auto"/>
        <w:right w:val="none" w:sz="0" w:space="0" w:color="auto"/>
      </w:divBdr>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sChild>
        <w:div w:id="1717658075">
          <w:marLeft w:val="547"/>
          <w:marRight w:val="0"/>
          <w:marTop w:val="0"/>
          <w:marBottom w:val="0"/>
          <w:divBdr>
            <w:top w:val="none" w:sz="0" w:space="0" w:color="auto"/>
            <w:left w:val="none" w:sz="0" w:space="0" w:color="auto"/>
            <w:bottom w:val="none" w:sz="0" w:space="0" w:color="auto"/>
            <w:right w:val="none" w:sz="0" w:space="0" w:color="auto"/>
          </w:divBdr>
        </w:div>
      </w:divsChild>
    </w:div>
    <w:div w:id="1138840818">
      <w:bodyDiv w:val="1"/>
      <w:marLeft w:val="0"/>
      <w:marRight w:val="0"/>
      <w:marTop w:val="0"/>
      <w:marBottom w:val="0"/>
      <w:divBdr>
        <w:top w:val="none" w:sz="0" w:space="0" w:color="auto"/>
        <w:left w:val="none" w:sz="0" w:space="0" w:color="auto"/>
        <w:bottom w:val="none" w:sz="0" w:space="0" w:color="auto"/>
        <w:right w:val="none" w:sz="0" w:space="0" w:color="auto"/>
      </w:divBdr>
    </w:div>
    <w:div w:id="1155605138">
      <w:bodyDiv w:val="1"/>
      <w:marLeft w:val="0"/>
      <w:marRight w:val="0"/>
      <w:marTop w:val="0"/>
      <w:marBottom w:val="0"/>
      <w:divBdr>
        <w:top w:val="none" w:sz="0" w:space="0" w:color="auto"/>
        <w:left w:val="none" w:sz="0" w:space="0" w:color="auto"/>
        <w:bottom w:val="none" w:sz="0" w:space="0" w:color="auto"/>
        <w:right w:val="none" w:sz="0" w:space="0" w:color="auto"/>
      </w:divBdr>
    </w:div>
    <w:div w:id="1254440326">
      <w:bodyDiv w:val="1"/>
      <w:marLeft w:val="0"/>
      <w:marRight w:val="0"/>
      <w:marTop w:val="0"/>
      <w:marBottom w:val="0"/>
      <w:divBdr>
        <w:top w:val="none" w:sz="0" w:space="0" w:color="auto"/>
        <w:left w:val="none" w:sz="0" w:space="0" w:color="auto"/>
        <w:bottom w:val="none" w:sz="0" w:space="0" w:color="auto"/>
        <w:right w:val="none" w:sz="0" w:space="0" w:color="auto"/>
      </w:divBdr>
    </w:div>
    <w:div w:id="1304240315">
      <w:bodyDiv w:val="1"/>
      <w:marLeft w:val="0"/>
      <w:marRight w:val="0"/>
      <w:marTop w:val="0"/>
      <w:marBottom w:val="0"/>
      <w:divBdr>
        <w:top w:val="none" w:sz="0" w:space="0" w:color="auto"/>
        <w:left w:val="none" w:sz="0" w:space="0" w:color="auto"/>
        <w:bottom w:val="none" w:sz="0" w:space="0" w:color="auto"/>
        <w:right w:val="none" w:sz="0" w:space="0" w:color="auto"/>
      </w:divBdr>
      <w:divsChild>
        <w:div w:id="1836652544">
          <w:marLeft w:val="547"/>
          <w:marRight w:val="0"/>
          <w:marTop w:val="0"/>
          <w:marBottom w:val="0"/>
          <w:divBdr>
            <w:top w:val="none" w:sz="0" w:space="0" w:color="auto"/>
            <w:left w:val="none" w:sz="0" w:space="0" w:color="auto"/>
            <w:bottom w:val="none" w:sz="0" w:space="0" w:color="auto"/>
            <w:right w:val="none" w:sz="0" w:space="0" w:color="auto"/>
          </w:divBdr>
        </w:div>
      </w:divsChild>
    </w:div>
    <w:div w:id="1567375265">
      <w:bodyDiv w:val="1"/>
      <w:marLeft w:val="0"/>
      <w:marRight w:val="0"/>
      <w:marTop w:val="0"/>
      <w:marBottom w:val="0"/>
      <w:divBdr>
        <w:top w:val="none" w:sz="0" w:space="0" w:color="auto"/>
        <w:left w:val="none" w:sz="0" w:space="0" w:color="auto"/>
        <w:bottom w:val="none" w:sz="0" w:space="0" w:color="auto"/>
        <w:right w:val="none" w:sz="0" w:space="0" w:color="auto"/>
      </w:divBdr>
    </w:div>
    <w:div w:id="1618902492">
      <w:bodyDiv w:val="1"/>
      <w:marLeft w:val="0"/>
      <w:marRight w:val="0"/>
      <w:marTop w:val="0"/>
      <w:marBottom w:val="0"/>
      <w:divBdr>
        <w:top w:val="none" w:sz="0" w:space="0" w:color="auto"/>
        <w:left w:val="none" w:sz="0" w:space="0" w:color="auto"/>
        <w:bottom w:val="none" w:sz="0" w:space="0" w:color="auto"/>
        <w:right w:val="none" w:sz="0" w:space="0" w:color="auto"/>
      </w:divBdr>
    </w:div>
    <w:div w:id="1625965343">
      <w:bodyDiv w:val="1"/>
      <w:marLeft w:val="0"/>
      <w:marRight w:val="0"/>
      <w:marTop w:val="0"/>
      <w:marBottom w:val="0"/>
      <w:divBdr>
        <w:top w:val="none" w:sz="0" w:space="0" w:color="auto"/>
        <w:left w:val="none" w:sz="0" w:space="0" w:color="auto"/>
        <w:bottom w:val="none" w:sz="0" w:space="0" w:color="auto"/>
        <w:right w:val="none" w:sz="0" w:space="0" w:color="auto"/>
      </w:divBdr>
    </w:div>
    <w:div w:id="1626498639">
      <w:bodyDiv w:val="1"/>
      <w:marLeft w:val="0"/>
      <w:marRight w:val="0"/>
      <w:marTop w:val="0"/>
      <w:marBottom w:val="0"/>
      <w:divBdr>
        <w:top w:val="none" w:sz="0" w:space="0" w:color="auto"/>
        <w:left w:val="none" w:sz="0" w:space="0" w:color="auto"/>
        <w:bottom w:val="none" w:sz="0" w:space="0" w:color="auto"/>
        <w:right w:val="none" w:sz="0" w:space="0" w:color="auto"/>
      </w:divBdr>
    </w:div>
    <w:div w:id="1665620900">
      <w:bodyDiv w:val="1"/>
      <w:marLeft w:val="0"/>
      <w:marRight w:val="0"/>
      <w:marTop w:val="0"/>
      <w:marBottom w:val="0"/>
      <w:divBdr>
        <w:top w:val="none" w:sz="0" w:space="0" w:color="auto"/>
        <w:left w:val="none" w:sz="0" w:space="0" w:color="auto"/>
        <w:bottom w:val="none" w:sz="0" w:space="0" w:color="auto"/>
        <w:right w:val="none" w:sz="0" w:space="0" w:color="auto"/>
      </w:divBdr>
    </w:div>
    <w:div w:id="1720475116">
      <w:bodyDiv w:val="1"/>
      <w:marLeft w:val="0"/>
      <w:marRight w:val="0"/>
      <w:marTop w:val="0"/>
      <w:marBottom w:val="0"/>
      <w:divBdr>
        <w:top w:val="none" w:sz="0" w:space="0" w:color="auto"/>
        <w:left w:val="none" w:sz="0" w:space="0" w:color="auto"/>
        <w:bottom w:val="none" w:sz="0" w:space="0" w:color="auto"/>
        <w:right w:val="none" w:sz="0" w:space="0" w:color="auto"/>
      </w:divBdr>
    </w:div>
    <w:div w:id="1731075936">
      <w:bodyDiv w:val="1"/>
      <w:marLeft w:val="0"/>
      <w:marRight w:val="0"/>
      <w:marTop w:val="0"/>
      <w:marBottom w:val="0"/>
      <w:divBdr>
        <w:top w:val="none" w:sz="0" w:space="0" w:color="auto"/>
        <w:left w:val="none" w:sz="0" w:space="0" w:color="auto"/>
        <w:bottom w:val="none" w:sz="0" w:space="0" w:color="auto"/>
        <w:right w:val="none" w:sz="0" w:space="0" w:color="auto"/>
      </w:divBdr>
    </w:div>
    <w:div w:id="1832939049">
      <w:bodyDiv w:val="1"/>
      <w:marLeft w:val="0"/>
      <w:marRight w:val="0"/>
      <w:marTop w:val="0"/>
      <w:marBottom w:val="0"/>
      <w:divBdr>
        <w:top w:val="none" w:sz="0" w:space="0" w:color="auto"/>
        <w:left w:val="none" w:sz="0" w:space="0" w:color="auto"/>
        <w:bottom w:val="none" w:sz="0" w:space="0" w:color="auto"/>
        <w:right w:val="none" w:sz="0" w:space="0" w:color="auto"/>
      </w:divBdr>
    </w:div>
    <w:div w:id="1857384511">
      <w:bodyDiv w:val="1"/>
      <w:marLeft w:val="0"/>
      <w:marRight w:val="0"/>
      <w:marTop w:val="0"/>
      <w:marBottom w:val="0"/>
      <w:divBdr>
        <w:top w:val="none" w:sz="0" w:space="0" w:color="auto"/>
        <w:left w:val="none" w:sz="0" w:space="0" w:color="auto"/>
        <w:bottom w:val="none" w:sz="0" w:space="0" w:color="auto"/>
        <w:right w:val="none" w:sz="0" w:space="0" w:color="auto"/>
      </w:divBdr>
    </w:div>
    <w:div w:id="1920215973">
      <w:bodyDiv w:val="1"/>
      <w:marLeft w:val="0"/>
      <w:marRight w:val="0"/>
      <w:marTop w:val="0"/>
      <w:marBottom w:val="0"/>
      <w:divBdr>
        <w:top w:val="none" w:sz="0" w:space="0" w:color="auto"/>
        <w:left w:val="none" w:sz="0" w:space="0" w:color="auto"/>
        <w:bottom w:val="none" w:sz="0" w:space="0" w:color="auto"/>
        <w:right w:val="none" w:sz="0" w:space="0" w:color="auto"/>
      </w:divBdr>
      <w:divsChild>
        <w:div w:id="1907647938">
          <w:marLeft w:val="547"/>
          <w:marRight w:val="0"/>
          <w:marTop w:val="0"/>
          <w:marBottom w:val="0"/>
          <w:divBdr>
            <w:top w:val="none" w:sz="0" w:space="0" w:color="auto"/>
            <w:left w:val="none" w:sz="0" w:space="0" w:color="auto"/>
            <w:bottom w:val="none" w:sz="0" w:space="0" w:color="auto"/>
            <w:right w:val="none" w:sz="0" w:space="0" w:color="auto"/>
          </w:divBdr>
        </w:div>
      </w:divsChild>
    </w:div>
    <w:div w:id="1947301374">
      <w:bodyDiv w:val="1"/>
      <w:marLeft w:val="0"/>
      <w:marRight w:val="0"/>
      <w:marTop w:val="0"/>
      <w:marBottom w:val="0"/>
      <w:divBdr>
        <w:top w:val="none" w:sz="0" w:space="0" w:color="auto"/>
        <w:left w:val="none" w:sz="0" w:space="0" w:color="auto"/>
        <w:bottom w:val="none" w:sz="0" w:space="0" w:color="auto"/>
        <w:right w:val="none" w:sz="0" w:space="0" w:color="auto"/>
      </w:divBdr>
    </w:div>
    <w:div w:id="1988320151">
      <w:bodyDiv w:val="1"/>
      <w:marLeft w:val="0"/>
      <w:marRight w:val="0"/>
      <w:marTop w:val="0"/>
      <w:marBottom w:val="0"/>
      <w:divBdr>
        <w:top w:val="none" w:sz="0" w:space="0" w:color="auto"/>
        <w:left w:val="none" w:sz="0" w:space="0" w:color="auto"/>
        <w:bottom w:val="none" w:sz="0" w:space="0" w:color="auto"/>
        <w:right w:val="none" w:sz="0" w:space="0" w:color="auto"/>
      </w:divBdr>
      <w:divsChild>
        <w:div w:id="1070734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cep.org/pdf/Reports-GC-SACEP/GC_15_Repo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prep.org/sites/default/files/documents/circulars/Cir19-70_Approved_SPREP_WPBiennial_Budge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prep.org/sites/default/files/documents/circulars/Cir19-70_Approved_SPREP_WPBiennial_Budge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neaspec.org/sites/default/files//7.%20SOM24_Evaluation.pdf" TargetMode="External"/><Relationship Id="rId2" Type="http://schemas.openxmlformats.org/officeDocument/2006/relationships/hyperlink" Target="http://neaspec.org/sites/default/files/NEASPEC%20Framework.pdf" TargetMode="External"/><Relationship Id="rId1" Type="http://schemas.openxmlformats.org/officeDocument/2006/relationships/hyperlink" Target="http://www.neaspec.org/sites/default/files//7.%20SOM24_Evaluation.pdf" TargetMode="External"/><Relationship Id="rId6" Type="http://schemas.openxmlformats.org/officeDocument/2006/relationships/hyperlink" Target="http://www.neaspec.org/sites/default/files/SOM17_Institutional%20arrangement_Annex.pdf" TargetMode="External"/><Relationship Id="rId5" Type="http://schemas.openxmlformats.org/officeDocument/2006/relationships/hyperlink" Target="http://www.neaspec.org/sites/default/files/EGM_Secretariat%20Paper%20on%20Institutional%20Mechanism_0.pdf" TargetMode="External"/><Relationship Id="rId4" Type="http://schemas.openxmlformats.org/officeDocument/2006/relationships/hyperlink" Target="http://www.neaspec.org/sites/default/files//NEASPEC%20SOM-24%20Meeting%20Report_Final_0.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2021\Vision%20Statement\financial_stats%20and%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B24-4008-89BB-E7882CC90DA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B24-4008-89BB-E7882CC90DA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B24-4008-89BB-E7882CC90DA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B24-4008-89BB-E7882CC90DA3}"/>
              </c:ext>
            </c:extLst>
          </c:dPt>
          <c:dLbls>
            <c:dLbl>
              <c:idx val="0"/>
              <c:layout>
                <c:manualLayout>
                  <c:x val="9.1666607423777247E-2"/>
                  <c:y val="3.869224079661329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7D985D06-56C8-4323-9D60-788C46525EEC}" type="CATEGORYNAME">
                      <a:rPr lang="en-US">
                        <a:solidFill>
                          <a:schemeClr val="tx1"/>
                        </a:solidFill>
                      </a:rPr>
                      <a:pPr>
                        <a:defRPr/>
                      </a:pPr>
                      <a:t>[CATEGORY NAME]</a:t>
                    </a:fld>
                    <a:r>
                      <a:rPr lang="en-US" baseline="0">
                        <a:solidFill>
                          <a:schemeClr val="tx1"/>
                        </a:solidFill>
                      </a:rPr>
                      <a:t>
</a:t>
                    </a:r>
                    <a:fld id="{8892A8D5-F1A4-4CE7-8032-97A1D4CF331A}" type="PERCENTAGE">
                      <a:rPr lang="en-US" baseline="0">
                        <a:solidFill>
                          <a:schemeClr val="tx1"/>
                        </a:solidFill>
                      </a:rPr>
                      <a:pPr>
                        <a:defRPr/>
                      </a:pPr>
                      <a:t>[PERCENTAGE]</a:t>
                    </a:fld>
                    <a:endParaRPr lang="en-US" baseline="0">
                      <a:solidFill>
                        <a:schemeClr val="tx1"/>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B24-4008-89BB-E7882CC90DA3}"/>
                </c:ext>
              </c:extLst>
            </c:dLbl>
            <c:dLbl>
              <c:idx val="1"/>
              <c:layout>
                <c:manualLayout>
                  <c:x val="-6.6021630086721433E-2"/>
                  <c:y val="-0.25946507552481329"/>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EDB1B799-0265-47B8-BFDD-92380F60A7AB}" type="CATEGORYNAME">
                      <a:rPr lang="en-US">
                        <a:solidFill>
                          <a:schemeClr val="tx1"/>
                        </a:solidFill>
                      </a:rPr>
                      <a:pPr>
                        <a:defRPr>
                          <a:solidFill>
                            <a:schemeClr val="accent1"/>
                          </a:solidFill>
                        </a:defRPr>
                      </a:pPr>
                      <a:t>[CATEGORY NAME]</a:t>
                    </a:fld>
                    <a:r>
                      <a:rPr lang="en-US" baseline="0"/>
                      <a:t>
</a:t>
                    </a:r>
                    <a:fld id="{187D7AA1-CC0B-4467-9DAB-3F700E639BE6}" type="PERCENTAGE">
                      <a:rPr lang="en-US" baseline="0">
                        <a:solidFill>
                          <a:schemeClr val="tx1"/>
                        </a:solidFill>
                      </a:rPr>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05119905915521"/>
                      <c:h val="0.17842957647574853"/>
                    </c:manualLayout>
                  </c15:layout>
                  <c15:dlblFieldTable/>
                  <c15:showDataLabelsRange val="0"/>
                </c:ext>
                <c:ext xmlns:c16="http://schemas.microsoft.com/office/drawing/2014/chart" uri="{C3380CC4-5D6E-409C-BE32-E72D297353CC}">
                  <c16:uniqueId val="{00000003-EB24-4008-89BB-E7882CC90DA3}"/>
                </c:ext>
              </c:extLst>
            </c:dLbl>
            <c:dLbl>
              <c:idx val="2"/>
              <c:layout>
                <c:manualLayout>
                  <c:x val="-6.8299096021213687E-2"/>
                  <c:y val="1.932692181298293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7EFC8D3-B730-44EF-AE36-D3D188D6A430}" type="CATEGORYNAME">
                      <a:rPr lang="en-US">
                        <a:solidFill>
                          <a:schemeClr val="tx1"/>
                        </a:solidFill>
                      </a:rPr>
                      <a:pPr>
                        <a:defRPr>
                          <a:solidFill>
                            <a:schemeClr val="accent1"/>
                          </a:solidFill>
                        </a:defRPr>
                      </a:pPr>
                      <a:t>[CATEGORY NAME]</a:t>
                    </a:fld>
                    <a:r>
                      <a:rPr lang="en-US" baseline="0">
                        <a:solidFill>
                          <a:schemeClr val="tx1"/>
                        </a:solidFill>
                      </a:rPr>
                      <a:t>
</a:t>
                    </a:r>
                    <a:fld id="{E85AE4B7-4136-4F40-A8DE-C293454AA0AA}" type="PERCENTAGE">
                      <a:rPr lang="en-US" baseline="0">
                        <a:solidFill>
                          <a:schemeClr val="tx1"/>
                        </a:solidFill>
                      </a:rPr>
                      <a:pPr>
                        <a:defRPr>
                          <a:solidFill>
                            <a:schemeClr val="accent1"/>
                          </a:solidFill>
                        </a:defRPr>
                      </a:pPr>
                      <a:t>[PERCENTAGE]</a:t>
                    </a:fld>
                    <a:endParaRPr lang="en-US" baseline="0">
                      <a:solidFill>
                        <a:schemeClr val="tx1"/>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B24-4008-89BB-E7882CC90DA3}"/>
                </c:ext>
              </c:extLst>
            </c:dLbl>
            <c:dLbl>
              <c:idx val="3"/>
              <c:layout>
                <c:manualLayout>
                  <c:x val="5.5555555555555046E-3"/>
                  <c:y val="1.388888888888888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015CEF1-BFC9-49FD-9914-27FE94E15D55}" type="CATEGORYNAME">
                      <a:rPr lang="en-US">
                        <a:solidFill>
                          <a:schemeClr val="tx1"/>
                        </a:solidFill>
                      </a:rPr>
                      <a:pPr>
                        <a:defRPr>
                          <a:solidFill>
                            <a:schemeClr val="accent1"/>
                          </a:solidFill>
                        </a:defRPr>
                      </a:pPr>
                      <a:t>[CATEGORY NAME]</a:t>
                    </a:fld>
                    <a:r>
                      <a:rPr lang="en-US" baseline="0">
                        <a:solidFill>
                          <a:schemeClr val="tx1"/>
                        </a:solidFill>
                      </a:rPr>
                      <a:t>
</a:t>
                    </a:r>
                    <a:fld id="{50AB4350-7F23-45BF-9F0E-E57FFBB54196}" type="PERCENTAGE">
                      <a:rPr lang="en-US" baseline="0">
                        <a:solidFill>
                          <a:schemeClr val="tx1"/>
                        </a:solidFill>
                      </a:rPr>
                      <a:pPr>
                        <a:defRPr>
                          <a:solidFill>
                            <a:schemeClr val="accent1"/>
                          </a:solidFill>
                        </a:defRPr>
                      </a:pPr>
                      <a:t>[PERCENTAGE]</a:t>
                    </a:fld>
                    <a:endParaRPr lang="en-US" baseline="0">
                      <a:solidFill>
                        <a:schemeClr val="tx1"/>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B24-4008-89BB-E7882CC90DA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Sheet2!$G$33:$G$36</c:f>
              <c:strCache>
                <c:ptCount val="4"/>
                <c:pt idx="0">
                  <c:v>Core budget</c:v>
                </c:pt>
                <c:pt idx="1">
                  <c:v>External funding</c:v>
                </c:pt>
                <c:pt idx="2">
                  <c:v>Programme management services</c:v>
                </c:pt>
                <c:pt idx="3">
                  <c:v>Others </c:v>
                </c:pt>
              </c:strCache>
            </c:strRef>
          </c:cat>
          <c:val>
            <c:numRef>
              <c:f>Sheet2!$K$33:$K$36</c:f>
              <c:numCache>
                <c:formatCode>General</c:formatCode>
                <c:ptCount val="4"/>
                <c:pt idx="0">
                  <c:v>3.6749963349178438</c:v>
                </c:pt>
                <c:pt idx="1">
                  <c:v>88.673475264546582</c:v>
                </c:pt>
                <c:pt idx="2">
                  <c:v>6.730522853215172</c:v>
                </c:pt>
                <c:pt idx="3">
                  <c:v>0.92100554732039608</c:v>
                </c:pt>
              </c:numCache>
            </c:numRef>
          </c:val>
          <c:extLst>
            <c:ext xmlns:c16="http://schemas.microsoft.com/office/drawing/2014/chart" uri="{C3380CC4-5D6E-409C-BE32-E72D297353CC}">
              <c16:uniqueId val="{00000008-EB24-4008-89BB-E7882CC90DA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754727DDF2004181DC5E9E376AF440" ma:contentTypeVersion="13" ma:contentTypeDescription="Create a new document." ma:contentTypeScope="" ma:versionID="cfa3a1a01f75ae0158c522ded72b0922">
  <xsd:schema xmlns:xsd="http://www.w3.org/2001/XMLSchema" xmlns:xs="http://www.w3.org/2001/XMLSchema" xmlns:p="http://schemas.microsoft.com/office/2006/metadata/properties" xmlns:ns3="7bf39369-1f7d-4281-8938-dd34a2182174" xmlns:ns4="ee509b82-0bca-49ba-8efd-aa85141024b3" targetNamespace="http://schemas.microsoft.com/office/2006/metadata/properties" ma:root="true" ma:fieldsID="01a4690c34807231eacb81ee0073e213" ns3:_="" ns4:_="">
    <xsd:import namespace="7bf39369-1f7d-4281-8938-dd34a2182174"/>
    <xsd:import namespace="ee509b82-0bca-49ba-8efd-aa85141024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39369-1f7d-4281-8938-dd34a21821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09b82-0bca-49ba-8efd-aa85141024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70B10-451A-4F81-BA4A-2C94E9CA6107}">
  <ds:schemaRefs>
    <ds:schemaRef ds:uri="http://schemas.openxmlformats.org/officeDocument/2006/bibliography"/>
  </ds:schemaRefs>
</ds:datastoreItem>
</file>

<file path=customXml/itemProps2.xml><?xml version="1.0" encoding="utf-8"?>
<ds:datastoreItem xmlns:ds="http://schemas.openxmlformats.org/officeDocument/2006/customXml" ds:itemID="{34E5B297-F008-4DEA-8A84-172679C94A8A}">
  <ds:schemaRefs>
    <ds:schemaRef ds:uri="http://schemas.microsoft.com/sharepoint/v3/contenttype/forms"/>
  </ds:schemaRefs>
</ds:datastoreItem>
</file>

<file path=customXml/itemProps3.xml><?xml version="1.0" encoding="utf-8"?>
<ds:datastoreItem xmlns:ds="http://schemas.openxmlformats.org/officeDocument/2006/customXml" ds:itemID="{05BD7BD9-E989-4494-AAF0-D23B782FF3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8995C1-2CD0-423A-8C66-88AE96525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39369-1f7d-4281-8938-dd34a2182174"/>
    <ds:schemaRef ds:uri="ee509b82-0bca-49ba-8efd-aa851410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2636</Words>
  <Characters>15026</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17627</CharactersWithSpaces>
  <SharedDoc>false</SharedDoc>
  <HLinks>
    <vt:vector size="72" baseType="variant">
      <vt:variant>
        <vt:i4>3145805</vt:i4>
      </vt:variant>
      <vt:variant>
        <vt:i4>24</vt:i4>
      </vt:variant>
      <vt:variant>
        <vt:i4>0</vt:i4>
      </vt:variant>
      <vt:variant>
        <vt:i4>5</vt:i4>
      </vt:variant>
      <vt:variant>
        <vt:lpwstr>https://www.unescap.org/commission/76/document/RES_76_1_ENG.pdf</vt:lpwstr>
      </vt:variant>
      <vt:variant>
        <vt:lpwstr/>
      </vt:variant>
      <vt:variant>
        <vt:i4>1638455</vt:i4>
      </vt:variant>
      <vt:variant>
        <vt:i4>21</vt:i4>
      </vt:variant>
      <vt:variant>
        <vt:i4>0</vt:i4>
      </vt:variant>
      <vt:variant>
        <vt:i4>5</vt:i4>
      </vt:variant>
      <vt:variant>
        <vt:lpwstr/>
      </vt:variant>
      <vt:variant>
        <vt:lpwstr>_Toc395634258</vt:lpwstr>
      </vt:variant>
      <vt:variant>
        <vt:i4>1638455</vt:i4>
      </vt:variant>
      <vt:variant>
        <vt:i4>15</vt:i4>
      </vt:variant>
      <vt:variant>
        <vt:i4>0</vt:i4>
      </vt:variant>
      <vt:variant>
        <vt:i4>5</vt:i4>
      </vt:variant>
      <vt:variant>
        <vt:lpwstr/>
      </vt:variant>
      <vt:variant>
        <vt:lpwstr>_Toc395634257</vt:lpwstr>
      </vt:variant>
      <vt:variant>
        <vt:i4>1638455</vt:i4>
      </vt:variant>
      <vt:variant>
        <vt:i4>12</vt:i4>
      </vt:variant>
      <vt:variant>
        <vt:i4>0</vt:i4>
      </vt:variant>
      <vt:variant>
        <vt:i4>5</vt:i4>
      </vt:variant>
      <vt:variant>
        <vt:lpwstr/>
      </vt:variant>
      <vt:variant>
        <vt:lpwstr>_Toc395634255</vt:lpwstr>
      </vt:variant>
      <vt:variant>
        <vt:i4>1638455</vt:i4>
      </vt:variant>
      <vt:variant>
        <vt:i4>6</vt:i4>
      </vt:variant>
      <vt:variant>
        <vt:i4>0</vt:i4>
      </vt:variant>
      <vt:variant>
        <vt:i4>5</vt:i4>
      </vt:variant>
      <vt:variant>
        <vt:lpwstr/>
      </vt:variant>
      <vt:variant>
        <vt:lpwstr>_Toc395634254</vt:lpwstr>
      </vt:variant>
      <vt:variant>
        <vt:i4>1638455</vt:i4>
      </vt:variant>
      <vt:variant>
        <vt:i4>0</vt:i4>
      </vt:variant>
      <vt:variant>
        <vt:i4>0</vt:i4>
      </vt:variant>
      <vt:variant>
        <vt:i4>5</vt:i4>
      </vt:variant>
      <vt:variant>
        <vt:lpwstr/>
      </vt:variant>
      <vt:variant>
        <vt:lpwstr>_Toc395634253</vt:lpwstr>
      </vt:variant>
      <vt:variant>
        <vt:i4>7405669</vt:i4>
      </vt:variant>
      <vt:variant>
        <vt:i4>15</vt:i4>
      </vt:variant>
      <vt:variant>
        <vt:i4>0</vt:i4>
      </vt:variant>
      <vt:variant>
        <vt:i4>5</vt:i4>
      </vt:variant>
      <vt:variant>
        <vt:lpwstr>http://neaspec.org/sites/default/files//7. SOM23_New Strategic Plan_0.pdf</vt:lpwstr>
      </vt:variant>
      <vt:variant>
        <vt:lpwstr/>
      </vt:variant>
      <vt:variant>
        <vt:i4>1441801</vt:i4>
      </vt:variant>
      <vt:variant>
        <vt:i4>12</vt:i4>
      </vt:variant>
      <vt:variant>
        <vt:i4>0</vt:i4>
      </vt:variant>
      <vt:variant>
        <vt:i4>5</vt:i4>
      </vt:variant>
      <vt:variant>
        <vt:lpwstr>http://www.neaspec.org/sites/default/files/NEASPEC SOM-23 Meeting Report.pdf</vt:lpwstr>
      </vt:variant>
      <vt:variant>
        <vt:lpwstr/>
      </vt:variant>
      <vt:variant>
        <vt:i4>1245277</vt:i4>
      </vt:variant>
      <vt:variant>
        <vt:i4>9</vt:i4>
      </vt:variant>
      <vt:variant>
        <vt:i4>0</vt:i4>
      </vt:variant>
      <vt:variant>
        <vt:i4>5</vt:i4>
      </vt:variant>
      <vt:variant>
        <vt:lpwstr>http://www.neaspec.org/sites/default/files/4.pdf</vt:lpwstr>
      </vt:variant>
      <vt:variant>
        <vt:lpwstr/>
      </vt:variant>
      <vt:variant>
        <vt:i4>1245277</vt:i4>
      </vt:variant>
      <vt:variant>
        <vt:i4>6</vt:i4>
      </vt:variant>
      <vt:variant>
        <vt:i4>0</vt:i4>
      </vt:variant>
      <vt:variant>
        <vt:i4>5</vt:i4>
      </vt:variant>
      <vt:variant>
        <vt:lpwstr>http://www.neaspec.org/sites/default/files/4.pdf</vt:lpwstr>
      </vt:variant>
      <vt:variant>
        <vt:lpwstr/>
      </vt:variant>
      <vt:variant>
        <vt:i4>3866682</vt:i4>
      </vt:variant>
      <vt:variant>
        <vt:i4>3</vt:i4>
      </vt:variant>
      <vt:variant>
        <vt:i4>0</vt:i4>
      </vt:variant>
      <vt:variant>
        <vt:i4>5</vt:i4>
      </vt:variant>
      <vt:variant>
        <vt:lpwstr>http://www.neaspec.org/sites/default/files//Annex 5_Resolution of ESCAP on NEASPEC_0.pdf</vt:lpwstr>
      </vt:variant>
      <vt:variant>
        <vt:lpwstr/>
      </vt:variant>
      <vt:variant>
        <vt:i4>1507332</vt:i4>
      </vt:variant>
      <vt:variant>
        <vt:i4>0</vt:i4>
      </vt:variant>
      <vt:variant>
        <vt:i4>0</vt:i4>
      </vt:variant>
      <vt:variant>
        <vt:i4>5</vt:i4>
      </vt:variant>
      <vt:variant>
        <vt:lpwstr>http://neaspec.org/sites/default/files/SOM-3-Ulaanbaatar.pdf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dc:creator>
  <cp:keywords/>
  <dc:description/>
  <cp:lastModifiedBy>Qian</cp:lastModifiedBy>
  <cp:revision>2</cp:revision>
  <cp:lastPrinted>2021-02-23T08:58:00Z</cp:lastPrinted>
  <dcterms:created xsi:type="dcterms:W3CDTF">2021-03-10T05:23:00Z</dcterms:created>
  <dcterms:modified xsi:type="dcterms:W3CDTF">2021-03-10T05:23:00Z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0x01010021754727DDF2004181DC5E9E376AF440</vt:lpwstr>
  </property>
</Properties>
</file>