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1"/>
        <w:tblW w:w="9798" w:type="dxa"/>
        <w:tblBorders>
          <w:left w:val="none" w:sz="0" w:space="0" w:color="auto"/>
          <w:bottom w:val="none" w:sz="0" w:space="0" w:color="auto"/>
          <w:right w:val="none" w:sz="0" w:space="0" w:color="auto"/>
        </w:tblBorders>
        <w:tblLook w:val="04A0" w:firstRow="1" w:lastRow="0" w:firstColumn="1" w:lastColumn="0" w:noHBand="0" w:noVBand="1"/>
      </w:tblPr>
      <w:tblGrid>
        <w:gridCol w:w="9798"/>
      </w:tblGrid>
      <w:tr w:rsidR="00920EC0" w14:paraId="69E8E6E6" w14:textId="77777777" w:rsidTr="00926B4A">
        <w:trPr>
          <w:trHeight w:val="1516"/>
        </w:trPr>
        <w:tc>
          <w:tcPr>
            <w:tcW w:w="9798" w:type="dxa"/>
          </w:tcPr>
          <w:p w14:paraId="39C23145" w14:textId="2A2AF6D6" w:rsidR="00920EC0" w:rsidRDefault="00926B4A" w:rsidP="00920EC0">
            <w:pPr>
              <w:spacing w:line="300" w:lineRule="exact"/>
              <w:rPr>
                <w:iCs/>
                <w:color w:val="000000"/>
              </w:rPr>
            </w:pPr>
            <w:r w:rsidRPr="000F4653">
              <w:rPr>
                <w:noProof/>
              </w:rPr>
              <w:drawing>
                <wp:anchor distT="0" distB="0" distL="114300" distR="114300" simplePos="0" relativeHeight="251658241" behindDoc="0" locked="0" layoutInCell="1" allowOverlap="1" wp14:anchorId="7071ED7B" wp14:editId="007A43C9">
                  <wp:simplePos x="0" y="0"/>
                  <wp:positionH relativeFrom="margin">
                    <wp:posOffset>3498850</wp:posOffset>
                  </wp:positionH>
                  <wp:positionV relativeFrom="paragraph">
                    <wp:posOffset>87630</wp:posOffset>
                  </wp:positionV>
                  <wp:extent cx="2602865" cy="508000"/>
                  <wp:effectExtent l="0" t="0" r="6985" b="6350"/>
                  <wp:wrapThrough wrapText="bothSides">
                    <wp:wrapPolygon edited="0">
                      <wp:start x="0" y="0"/>
                      <wp:lineTo x="0" y="21060"/>
                      <wp:lineTo x="21500" y="21060"/>
                      <wp:lineTo x="21500" y="0"/>
                      <wp:lineTo x="0" y="0"/>
                    </wp:wrapPolygon>
                  </wp:wrapThrough>
                  <wp:docPr id="7" name="그림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602865" cy="508000"/>
                          </a:xfrm>
                          <a:prstGeom prst="rect">
                            <a:avLst/>
                          </a:prstGeom>
                        </pic:spPr>
                      </pic:pic>
                    </a:graphicData>
                  </a:graphic>
                  <wp14:sizeRelH relativeFrom="margin">
                    <wp14:pctWidth>0</wp14:pctWidth>
                  </wp14:sizeRelH>
                  <wp14:sizeRelV relativeFrom="margin">
                    <wp14:pctHeight>0</wp14:pctHeight>
                  </wp14:sizeRelV>
                </wp:anchor>
              </w:drawing>
            </w:r>
            <w:r w:rsidRPr="000F4653">
              <w:rPr>
                <w:noProof/>
              </w:rPr>
              <w:drawing>
                <wp:anchor distT="0" distB="0" distL="114300" distR="114300" simplePos="0" relativeHeight="251658240" behindDoc="0" locked="0" layoutInCell="1" allowOverlap="1" wp14:anchorId="585CC102" wp14:editId="26D634DE">
                  <wp:simplePos x="0" y="0"/>
                  <wp:positionH relativeFrom="margin">
                    <wp:posOffset>165100</wp:posOffset>
                  </wp:positionH>
                  <wp:positionV relativeFrom="paragraph">
                    <wp:posOffset>88265</wp:posOffset>
                  </wp:positionV>
                  <wp:extent cx="1647825" cy="532765"/>
                  <wp:effectExtent l="0" t="0" r="9525" b="635"/>
                  <wp:wrapThrough wrapText="bothSides">
                    <wp:wrapPolygon edited="0">
                      <wp:start x="0" y="0"/>
                      <wp:lineTo x="0" y="20853"/>
                      <wp:lineTo x="21475" y="20853"/>
                      <wp:lineTo x="21475"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5327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bl>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817"/>
        <w:gridCol w:w="3242"/>
      </w:tblGrid>
      <w:tr w:rsidR="00A65D4F" w:rsidRPr="000F4653" w14:paraId="7DA784EB" w14:textId="77777777" w:rsidTr="00920EC0">
        <w:trPr>
          <w:trHeight w:val="1456"/>
        </w:trPr>
        <w:tc>
          <w:tcPr>
            <w:tcW w:w="5647" w:type="dxa"/>
          </w:tcPr>
          <w:p w14:paraId="79AC1CC8" w14:textId="77777777" w:rsidR="00A65D4F" w:rsidRPr="000F4653" w:rsidRDefault="00A65D4F" w:rsidP="00E9481D">
            <w:pPr>
              <w:snapToGrid w:val="0"/>
              <w:spacing w:line="276" w:lineRule="auto"/>
              <w:rPr>
                <w:b/>
                <w:bCs/>
                <w:color w:val="000000"/>
              </w:rPr>
            </w:pPr>
            <w:r w:rsidRPr="000F4653">
              <w:rPr>
                <w:b/>
                <w:bCs/>
                <w:color w:val="000000"/>
              </w:rPr>
              <w:t>UNITED NATIONS ECONOMIC AND SOCIAL COMMISSION FOR ASIA AND THE PACIFIC</w:t>
            </w:r>
          </w:p>
          <w:p w14:paraId="5AD92E60" w14:textId="77777777" w:rsidR="00A65D4F" w:rsidRPr="000F4653" w:rsidRDefault="00A65D4F" w:rsidP="00E9481D">
            <w:pPr>
              <w:snapToGrid w:val="0"/>
              <w:spacing w:line="276" w:lineRule="auto"/>
              <w:rPr>
                <w:rFonts w:cs="Arial"/>
                <w:color w:val="000000"/>
                <w:lang w:eastAsia="ko-KR"/>
              </w:rPr>
            </w:pPr>
            <w:r w:rsidRPr="000F4653">
              <w:rPr>
                <w:rFonts w:cs="Arial"/>
                <w:color w:val="000000" w:themeColor="text1"/>
                <w:lang w:eastAsia="ko-KR"/>
              </w:rPr>
              <w:t>2</w:t>
            </w:r>
            <w:r w:rsidRPr="000F4653">
              <w:rPr>
                <w:rFonts w:cs="Arial"/>
                <w:color w:val="000000" w:themeColor="text1"/>
                <w:vertAlign w:val="superscript"/>
                <w:lang w:eastAsia="ko-KR"/>
              </w:rPr>
              <w:t>nd</w:t>
            </w:r>
            <w:r w:rsidRPr="000F4653">
              <w:rPr>
                <w:rFonts w:cs="Arial"/>
                <w:color w:val="000000" w:themeColor="text1"/>
                <w:lang w:eastAsia="ko-KR"/>
              </w:rPr>
              <w:t xml:space="preserve"> Meeting of NEACAP Science and Policy Committee</w:t>
            </w:r>
            <w:r w:rsidR="00475535" w:rsidRPr="000F4653">
              <w:rPr>
                <w:rFonts w:cs="Arial"/>
                <w:color w:val="000000" w:themeColor="text1"/>
                <w:lang w:eastAsia="ko-KR"/>
              </w:rPr>
              <w:t xml:space="preserve"> </w:t>
            </w:r>
          </w:p>
          <w:p w14:paraId="58D4ED51" w14:textId="77777777" w:rsidR="00A65D4F" w:rsidRPr="000F4653" w:rsidRDefault="00A65D4F" w:rsidP="00E9481D">
            <w:pPr>
              <w:snapToGrid w:val="0"/>
              <w:spacing w:line="276" w:lineRule="auto"/>
              <w:rPr>
                <w:iCs/>
                <w:color w:val="000000"/>
              </w:rPr>
            </w:pPr>
            <w:r w:rsidRPr="000F4653">
              <w:rPr>
                <w:color w:val="000000" w:themeColor="text1"/>
                <w:lang w:eastAsia="ko-KR"/>
              </w:rPr>
              <w:t>2-3 June 2020</w:t>
            </w:r>
          </w:p>
        </w:tc>
        <w:tc>
          <w:tcPr>
            <w:tcW w:w="817" w:type="dxa"/>
          </w:tcPr>
          <w:p w14:paraId="7BA13176" w14:textId="77777777" w:rsidR="00A65D4F" w:rsidRPr="000F4653" w:rsidRDefault="00A65D4F" w:rsidP="00E9481D">
            <w:pPr>
              <w:spacing w:line="276" w:lineRule="auto"/>
              <w:rPr>
                <w:iCs/>
                <w:color w:val="000000"/>
              </w:rPr>
            </w:pPr>
          </w:p>
        </w:tc>
        <w:tc>
          <w:tcPr>
            <w:tcW w:w="3242" w:type="dxa"/>
          </w:tcPr>
          <w:p w14:paraId="71F3716D" w14:textId="2A0CF3D6" w:rsidR="00A65D4F" w:rsidRPr="000F4653" w:rsidRDefault="00A65D4F" w:rsidP="00E9481D">
            <w:pPr>
              <w:spacing w:line="276" w:lineRule="auto"/>
              <w:ind w:left="771"/>
              <w:rPr>
                <w:rFonts w:eastAsia="바탕"/>
                <w:b/>
                <w:bCs/>
                <w:szCs w:val="24"/>
              </w:rPr>
            </w:pPr>
            <w:r w:rsidRPr="000F4653">
              <w:rPr>
                <w:lang w:val="en-GB"/>
              </w:rPr>
              <w:t xml:space="preserve">   </w:t>
            </w:r>
            <w:r w:rsidRPr="000F4653">
              <w:rPr>
                <w:b/>
                <w:bCs/>
                <w:lang w:val="en-GB"/>
              </w:rPr>
              <w:t>NEACAP/SPC-2/</w:t>
            </w:r>
            <w:r w:rsidR="005074DE">
              <w:rPr>
                <w:b/>
                <w:bCs/>
                <w:lang w:val="en-GB"/>
              </w:rPr>
              <w:t>4</w:t>
            </w:r>
          </w:p>
          <w:p w14:paraId="235362A7" w14:textId="129E89F3" w:rsidR="00A65D4F" w:rsidRPr="000F4653" w:rsidRDefault="00A65D4F" w:rsidP="00E9481D">
            <w:pPr>
              <w:spacing w:line="276" w:lineRule="auto"/>
              <w:ind w:left="771"/>
              <w:rPr>
                <w:rFonts w:eastAsia="SimSun"/>
              </w:rPr>
            </w:pPr>
            <w:r w:rsidRPr="000F4653">
              <w:rPr>
                <w:rFonts w:eastAsia="SimSun"/>
              </w:rPr>
              <w:t xml:space="preserve">   </w:t>
            </w:r>
            <w:r w:rsidR="00E413E8" w:rsidRPr="000F4653">
              <w:rPr>
                <w:rFonts w:eastAsia="SimSun"/>
              </w:rPr>
              <w:t>0</w:t>
            </w:r>
            <w:r w:rsidR="005074DE">
              <w:rPr>
                <w:rFonts w:eastAsia="SimSun"/>
              </w:rPr>
              <w:t>3</w:t>
            </w:r>
            <w:r w:rsidR="00E413E8" w:rsidRPr="000F4653">
              <w:rPr>
                <w:rFonts w:eastAsia="SimSun"/>
              </w:rPr>
              <w:t xml:space="preserve"> </w:t>
            </w:r>
            <w:r w:rsidRPr="000F4653">
              <w:rPr>
                <w:rFonts w:eastAsia="SimSun"/>
              </w:rPr>
              <w:t>June 2020</w:t>
            </w:r>
          </w:p>
          <w:p w14:paraId="50FC647A" w14:textId="77777777" w:rsidR="00A65D4F" w:rsidRPr="000F4653" w:rsidRDefault="00A65D4F" w:rsidP="00E9481D">
            <w:pPr>
              <w:spacing w:line="276" w:lineRule="auto"/>
              <w:rPr>
                <w:iCs/>
                <w:color w:val="000000"/>
              </w:rPr>
            </w:pPr>
          </w:p>
        </w:tc>
      </w:tr>
    </w:tbl>
    <w:p w14:paraId="62FB7A7E" w14:textId="77777777" w:rsidR="005074DE" w:rsidRDefault="005074DE" w:rsidP="005074DE">
      <w:pPr>
        <w:pStyle w:val="Heading1"/>
        <w:spacing w:before="0" w:line="276" w:lineRule="auto"/>
        <w:jc w:val="center"/>
        <w:rPr>
          <w:rFonts w:ascii="Book Antiqua" w:hAnsi="Book Antiqua" w:cs="Tahoma"/>
          <w:color w:val="002060"/>
        </w:rPr>
      </w:pPr>
    </w:p>
    <w:p w14:paraId="0BF4EAD9" w14:textId="6686F896" w:rsidR="005074DE" w:rsidRPr="00661181" w:rsidRDefault="005074DE" w:rsidP="005074DE">
      <w:pPr>
        <w:pStyle w:val="Heading1"/>
        <w:spacing w:before="0" w:line="276" w:lineRule="auto"/>
        <w:jc w:val="center"/>
        <w:rPr>
          <w:rFonts w:ascii="Book Antiqua" w:hAnsi="Book Antiqua" w:cs="Tahoma"/>
          <w:color w:val="002060"/>
        </w:rPr>
      </w:pPr>
      <w:r w:rsidRPr="00661181">
        <w:rPr>
          <w:rFonts w:ascii="Book Antiqua" w:hAnsi="Book Antiqua" w:cs="Tahoma"/>
          <w:color w:val="002060"/>
        </w:rPr>
        <w:t>Recommendation of the Second Meeting of the North-East Asia Clean Air Partnership Science and Policy Committee and Technical Centers</w:t>
      </w:r>
    </w:p>
    <w:p w14:paraId="4DE238CF" w14:textId="77777777" w:rsidR="005074DE" w:rsidRPr="00661181" w:rsidRDefault="005074DE" w:rsidP="005074DE"/>
    <w:p w14:paraId="7AAA3CF4" w14:textId="77777777" w:rsidR="005074DE" w:rsidRPr="00661181" w:rsidRDefault="005074DE" w:rsidP="005074DE">
      <w:pPr>
        <w:pStyle w:val="ListParagraph"/>
        <w:numPr>
          <w:ilvl w:val="0"/>
          <w:numId w:val="1"/>
        </w:numPr>
        <w:jc w:val="both"/>
        <w:rPr>
          <w:rFonts w:ascii="Book Antiqua" w:hAnsi="Book Antiqua" w:cs="Tahoma"/>
        </w:rPr>
      </w:pPr>
      <w:r w:rsidRPr="00661181">
        <w:rPr>
          <w:rFonts w:ascii="Book Antiqua" w:hAnsi="Book Antiqua" w:cs="Tahoma"/>
        </w:rPr>
        <w:t>The second meeting of the North-East Asia Clean Air Partnership (NEACAP) Science and Policy Committee and Technical Centers was held on 2-3 June 2020 by virtual meeting. The meeting discussed the priority areas of NEACAP and overall goals and activities thereof. The Draft NEACAP Work Plan 2021-2025 (</w:t>
      </w:r>
      <w:r w:rsidRPr="00661181">
        <w:rPr>
          <w:rFonts w:ascii="Book Antiqua" w:eastAsia="SimSun" w:hAnsi="Book Antiqua" w:cs="Tahoma" w:hint="eastAsia"/>
          <w:lang w:eastAsia="zh-CN"/>
        </w:rPr>
        <w:t xml:space="preserve">hereinafter referred to as </w:t>
      </w:r>
      <w:r w:rsidRPr="00661181">
        <w:rPr>
          <w:rFonts w:ascii="Book Antiqua" w:eastAsia="SimSun" w:hAnsi="Book Antiqua" w:cs="Tahoma"/>
          <w:lang w:eastAsia="zh-CN"/>
        </w:rPr>
        <w:t>“</w:t>
      </w:r>
      <w:r w:rsidRPr="00661181">
        <w:rPr>
          <w:rFonts w:ascii="Book Antiqua" w:eastAsia="SimSun" w:hAnsi="Book Antiqua" w:cs="Tahoma" w:hint="eastAsia"/>
          <w:lang w:eastAsia="zh-CN"/>
        </w:rPr>
        <w:t>the Work Plan</w:t>
      </w:r>
      <w:r w:rsidRPr="00661181">
        <w:rPr>
          <w:rFonts w:ascii="Book Antiqua" w:eastAsia="SimSun" w:hAnsi="Book Antiqua" w:cs="Tahoma"/>
          <w:lang w:eastAsia="zh-CN"/>
        </w:rPr>
        <w:t>”</w:t>
      </w:r>
      <w:r w:rsidRPr="00661181">
        <w:rPr>
          <w:rFonts w:ascii="Book Antiqua" w:hAnsi="Book Antiqua" w:cs="Tahoma"/>
        </w:rPr>
        <w:t xml:space="preserve">) was discussed </w:t>
      </w:r>
      <w:r w:rsidRPr="00661181">
        <w:rPr>
          <w:rFonts w:ascii="Book Antiqua" w:eastAsiaTheme="minorEastAsia" w:hAnsi="Book Antiqua" w:cs="Tahoma"/>
          <w:lang w:eastAsia="zh-CN"/>
        </w:rPr>
        <w:t>an</w:t>
      </w:r>
      <w:r w:rsidRPr="00661181">
        <w:rPr>
          <w:rFonts w:ascii="Book Antiqua" w:eastAsiaTheme="minorEastAsia" w:hAnsi="Book Antiqua" w:cs="Tahoma" w:hint="eastAsia"/>
          <w:lang w:eastAsia="zh-CN"/>
        </w:rPr>
        <w:t xml:space="preserve">d </w:t>
      </w:r>
      <w:r>
        <w:rPr>
          <w:rFonts w:ascii="Book Antiqua" w:eastAsiaTheme="minorEastAsia" w:hAnsi="Book Antiqua" w:cs="Tahoma"/>
          <w:lang w:eastAsia="zh-CN"/>
        </w:rPr>
        <w:t>will</w:t>
      </w:r>
      <w:r>
        <w:rPr>
          <w:rFonts w:ascii="Book Antiqua" w:hAnsi="Book Antiqua" w:cs="Tahoma"/>
        </w:rPr>
        <w:t xml:space="preserve"> be submitted to the 24</w:t>
      </w:r>
      <w:r>
        <w:rPr>
          <w:rFonts w:ascii="Book Antiqua" w:hAnsi="Book Antiqua" w:cs="Tahoma"/>
          <w:vertAlign w:val="superscript"/>
        </w:rPr>
        <w:t>th</w:t>
      </w:r>
      <w:r>
        <w:rPr>
          <w:rFonts w:ascii="Book Antiqua" w:hAnsi="Book Antiqua" w:cs="Tahoma"/>
        </w:rPr>
        <w:t xml:space="preserve"> Senior Officials Meeting (SOM-24) of NEASPEC for the formal endorsement. </w:t>
      </w:r>
    </w:p>
    <w:p w14:paraId="6FF16216" w14:textId="77777777" w:rsidR="005074DE" w:rsidRPr="00661181" w:rsidRDefault="005074DE" w:rsidP="005074DE">
      <w:pPr>
        <w:pStyle w:val="ListParagraph"/>
        <w:ind w:left="800"/>
        <w:jc w:val="both"/>
        <w:rPr>
          <w:rFonts w:ascii="Book Antiqua" w:hAnsi="Book Antiqua" w:cs="Tahoma"/>
        </w:rPr>
      </w:pPr>
    </w:p>
    <w:p w14:paraId="1A4CD32A" w14:textId="77777777" w:rsidR="005074DE" w:rsidRPr="00661181" w:rsidRDefault="005074DE" w:rsidP="005074DE">
      <w:pPr>
        <w:pStyle w:val="ListParagraph"/>
        <w:numPr>
          <w:ilvl w:val="0"/>
          <w:numId w:val="1"/>
        </w:numPr>
        <w:jc w:val="both"/>
        <w:rPr>
          <w:rFonts w:ascii="Book Antiqua" w:hAnsi="Book Antiqua" w:cs="Tahoma"/>
        </w:rPr>
      </w:pPr>
      <w:r>
        <w:rPr>
          <w:rFonts w:ascii="Book Antiqua" w:hAnsi="Book Antiqua" w:cs="Tahoma"/>
        </w:rPr>
        <w:t xml:space="preserve">The draft Work Plan was developed as a basis to initiate the work of NEACAP and will be subject to further revision from time to time if necessary. In particular, the Science and Policy Committee (SPC) of NEACAP plans to have a mid-term review in 2022 on the implementation of the Work Plan to make necessary adjustments, </w:t>
      </w:r>
      <w:r>
        <w:rPr>
          <w:rFonts w:ascii="Book Antiqua" w:eastAsia="SimSun" w:hAnsi="Book Antiqua" w:cs="Tahoma"/>
          <w:lang w:eastAsia="zh-CN"/>
        </w:rPr>
        <w:t>as agreed upon by the member States</w:t>
      </w:r>
      <w:r>
        <w:rPr>
          <w:rFonts w:ascii="Book Antiqua" w:hAnsi="Book Antiqua" w:cs="Tahoma"/>
        </w:rPr>
        <w:t xml:space="preserve">. </w:t>
      </w:r>
    </w:p>
    <w:p w14:paraId="104DBEC3" w14:textId="77777777" w:rsidR="005074DE" w:rsidRPr="00661181" w:rsidRDefault="005074DE" w:rsidP="005074DE">
      <w:pPr>
        <w:pStyle w:val="ListParagraph"/>
        <w:rPr>
          <w:rFonts w:ascii="Book Antiqua" w:hAnsi="Book Antiqua" w:cs="Tahoma"/>
        </w:rPr>
      </w:pPr>
    </w:p>
    <w:p w14:paraId="119C03C7" w14:textId="77777777" w:rsidR="005074DE" w:rsidRPr="009D20E9" w:rsidRDefault="005074DE" w:rsidP="005074DE">
      <w:pPr>
        <w:pStyle w:val="ListParagraph"/>
        <w:numPr>
          <w:ilvl w:val="0"/>
          <w:numId w:val="1"/>
        </w:numPr>
        <w:jc w:val="both"/>
        <w:rPr>
          <w:rFonts w:ascii="Book Antiqua" w:hAnsi="Book Antiqua" w:cs="Tahoma"/>
        </w:rPr>
      </w:pPr>
      <w:r>
        <w:rPr>
          <w:rFonts w:ascii="Book Antiqua" w:hAnsi="Book Antiqua" w:cs="Tahoma"/>
        </w:rPr>
        <w:t xml:space="preserve">The SPC recommends the SOM-24 to consider the following Work Plan for adoption, </w:t>
      </w:r>
      <w:r>
        <w:rPr>
          <w:rFonts w:ascii="Book Antiqua" w:eastAsia="DengXian" w:hAnsi="Book Antiqua" w:cs="Tahoma"/>
          <w:lang w:eastAsia="zh-CN"/>
        </w:rPr>
        <w:t>discuss</w:t>
      </w:r>
      <w:r>
        <w:rPr>
          <w:rFonts w:ascii="Book Antiqua" w:hAnsi="Book Antiqua" w:cs="Tahoma"/>
        </w:rPr>
        <w:t xml:space="preserve"> the timely start and implementation of the Work Plan, and mobilize contributions of </w:t>
      </w:r>
      <w:r>
        <w:rPr>
          <w:rFonts w:ascii="Book Antiqua" w:eastAsia="DengXian" w:hAnsi="Book Antiqua" w:cs="Tahoma"/>
          <w:lang w:eastAsia="zh-CN"/>
        </w:rPr>
        <w:t xml:space="preserve">the </w:t>
      </w:r>
      <w:r>
        <w:rPr>
          <w:rFonts w:ascii="Book Antiqua" w:hAnsi="Book Antiqua" w:cs="Tahoma"/>
        </w:rPr>
        <w:t xml:space="preserve">member </w:t>
      </w:r>
      <w:r>
        <w:rPr>
          <w:rFonts w:ascii="Book Antiqua" w:eastAsia="DengXian" w:hAnsi="Book Antiqua" w:cs="Tahoma"/>
          <w:lang w:eastAsia="zh-CN"/>
        </w:rPr>
        <w:t>State</w:t>
      </w:r>
      <w:r>
        <w:rPr>
          <w:rFonts w:ascii="Book Antiqua" w:hAnsi="Book Antiqua" w:cs="Tahoma"/>
        </w:rPr>
        <w:t>s</w:t>
      </w:r>
      <w:r>
        <w:rPr>
          <w:rFonts w:ascii="Book Antiqua" w:eastAsia="DengXian" w:hAnsi="Book Antiqua" w:cs="Tahoma"/>
          <w:lang w:eastAsia="zh-CN"/>
        </w:rPr>
        <w:t>,</w:t>
      </w:r>
      <w:r>
        <w:rPr>
          <w:rFonts w:ascii="Book Antiqua" w:hAnsi="Book Antiqua" w:cs="Tahoma"/>
        </w:rPr>
        <w:t xml:space="preserve"> </w:t>
      </w:r>
      <w:r>
        <w:rPr>
          <w:rFonts w:ascii="Book Antiqua" w:eastAsia="DengXian" w:hAnsi="Book Antiqua" w:cs="Tahoma"/>
          <w:lang w:eastAsia="zh-CN"/>
        </w:rPr>
        <w:t>such as through the involvement in NEACAP activities by</w:t>
      </w:r>
      <w:r>
        <w:rPr>
          <w:rFonts w:ascii="Book Antiqua" w:hAnsi="Book Antiqua" w:cs="Tahoma"/>
        </w:rPr>
        <w:t xml:space="preserve"> their respective Technical Centers (TC). That is, Chinese Research Academy of Environmental Sciences, National Institute of Environmental Research of the Republic of Korea, and Scientific Research Institute for Atmospheric Air Protection of the Russian Federation, as of June 2020. </w:t>
      </w:r>
      <w:r w:rsidRPr="00291869">
        <w:rPr>
          <w:rFonts w:ascii="Book Antiqua" w:hAnsi="Book Antiqua" w:cs="Tahoma"/>
        </w:rPr>
        <w:t xml:space="preserve">The SPC also requests the Secretariat to consult with the Technical Centers to identify their specific roles and organize a joint meeting of Technical Centers to further define their respective </w:t>
      </w:r>
      <w:r w:rsidRPr="00291869">
        <w:rPr>
          <w:rFonts w:ascii="Book Antiqua" w:eastAsia="DengXian" w:hAnsi="Book Antiqua" w:cs="Tahoma"/>
          <w:lang w:eastAsia="zh-CN"/>
        </w:rPr>
        <w:t>roles</w:t>
      </w:r>
      <w:r>
        <w:rPr>
          <w:rFonts w:ascii="Book Antiqua" w:eastAsia="DengXian" w:hAnsi="Book Antiqua" w:cs="Tahoma"/>
          <w:lang w:eastAsia="zh-CN"/>
        </w:rPr>
        <w:t xml:space="preserve"> </w:t>
      </w:r>
      <w:r w:rsidRPr="00157F93">
        <w:rPr>
          <w:rFonts w:ascii="Book Antiqua" w:hAnsi="Book Antiqua" w:cs="Tahoma"/>
        </w:rPr>
        <w:t>thereof</w:t>
      </w:r>
      <w:r w:rsidRPr="00157F93">
        <w:rPr>
          <w:rFonts w:ascii="Book Antiqua" w:eastAsia="DengXian" w:hAnsi="Book Antiqua" w:cs="Tahoma"/>
          <w:lang w:eastAsia="zh-CN"/>
        </w:rPr>
        <w:t>.</w:t>
      </w:r>
    </w:p>
    <w:p w14:paraId="2949A0F7" w14:textId="77777777" w:rsidR="005074DE" w:rsidRPr="00661181" w:rsidRDefault="005074DE" w:rsidP="005074DE">
      <w:pPr>
        <w:pStyle w:val="ListParagraph"/>
        <w:rPr>
          <w:rFonts w:ascii="Book Antiqua" w:hAnsi="Book Antiqua" w:cs="Tahoma"/>
        </w:rPr>
      </w:pPr>
    </w:p>
    <w:p w14:paraId="08B0FC00" w14:textId="77777777" w:rsidR="005074DE" w:rsidRPr="00661181" w:rsidRDefault="005074DE" w:rsidP="005074DE">
      <w:pPr>
        <w:pStyle w:val="ListParagraph"/>
        <w:numPr>
          <w:ilvl w:val="0"/>
          <w:numId w:val="1"/>
        </w:numPr>
        <w:jc w:val="both"/>
        <w:rPr>
          <w:rFonts w:ascii="Book Antiqua" w:hAnsi="Book Antiqua" w:cs="Tahoma"/>
        </w:rPr>
      </w:pPr>
      <w:r>
        <w:rPr>
          <w:rFonts w:ascii="Book Antiqua" w:eastAsia="DengXian" w:hAnsi="Book Antiqua" w:cs="Tahoma"/>
          <w:lang w:eastAsia="zh-CN"/>
        </w:rPr>
        <w:t>Having considered the interests and capacity of member States as well as the institutional capacity of NEACAP, the SPC</w:t>
      </w:r>
      <w:r>
        <w:rPr>
          <w:rFonts w:eastAsia="DengXian"/>
          <w:lang w:eastAsia="zh-CN"/>
        </w:rPr>
        <w:t xml:space="preserve"> </w:t>
      </w:r>
      <w:r>
        <w:rPr>
          <w:rFonts w:ascii="Book Antiqua" w:eastAsia="DengXian" w:hAnsi="Book Antiqua" w:cs="Tahoma"/>
          <w:lang w:eastAsia="zh-CN"/>
        </w:rPr>
        <w:t xml:space="preserve">requests the Secretariat to promote plans and activities with a phased approach. Thus, the priority activities </w:t>
      </w:r>
      <w:r>
        <w:rPr>
          <w:rFonts w:ascii="Book Antiqua" w:eastAsia="DengXian" w:hAnsi="Book Antiqua"/>
          <w:lang w:eastAsia="zh-CN"/>
        </w:rPr>
        <w:t>of 2021-2025</w:t>
      </w:r>
      <w:r>
        <w:rPr>
          <w:rFonts w:eastAsia="DengXian"/>
          <w:lang w:eastAsia="zh-CN"/>
        </w:rPr>
        <w:t xml:space="preserve"> </w:t>
      </w:r>
      <w:r>
        <w:rPr>
          <w:rFonts w:ascii="Book Antiqua" w:eastAsia="DengXian" w:hAnsi="Book Antiqua" w:cs="Tahoma"/>
          <w:lang w:eastAsia="zh-CN"/>
        </w:rPr>
        <w:t>will focus on</w:t>
      </w:r>
      <w:r>
        <w:rPr>
          <w:rFonts w:eastAsia="DengXian"/>
          <w:lang w:eastAsia="zh-CN"/>
        </w:rPr>
        <w:t xml:space="preserve"> </w:t>
      </w:r>
      <w:r>
        <w:rPr>
          <w:rFonts w:ascii="Book Antiqua" w:eastAsia="DengXian" w:hAnsi="Book Antiqua"/>
          <w:lang w:eastAsia="zh-CN"/>
        </w:rPr>
        <w:t>immediate benefits and collaboration opportunities</w:t>
      </w:r>
      <w:r>
        <w:rPr>
          <w:rFonts w:ascii="Book Antiqua" w:eastAsia="DengXian" w:hAnsi="Book Antiqua" w:cs="Tahoma"/>
          <w:lang w:eastAsia="zh-CN"/>
        </w:rPr>
        <w:t xml:space="preserve"> for member States</w:t>
      </w:r>
      <w:r>
        <w:rPr>
          <w:rFonts w:eastAsia="DengXian"/>
          <w:lang w:eastAsia="zh-CN"/>
        </w:rPr>
        <w:t xml:space="preserve">. </w:t>
      </w:r>
    </w:p>
    <w:p w14:paraId="08C03E6E" w14:textId="77777777" w:rsidR="005074DE" w:rsidRPr="00661181" w:rsidRDefault="005074DE" w:rsidP="005074DE">
      <w:pPr>
        <w:pStyle w:val="Heading1"/>
        <w:jc w:val="center"/>
        <w:rPr>
          <w:rFonts w:ascii="Book Antiqua" w:hAnsi="Book Antiqua" w:cs="Tahoma"/>
          <w:b w:val="0"/>
          <w:bCs w:val="0"/>
          <w:color w:val="002060"/>
        </w:rPr>
      </w:pPr>
      <w:r w:rsidRPr="00661181">
        <w:rPr>
          <w:rFonts w:ascii="Book Antiqua" w:hAnsi="Book Antiqua" w:cs="Tahoma"/>
          <w:color w:val="002060"/>
        </w:rPr>
        <w:lastRenderedPageBreak/>
        <w:t>(draft) NEACAP Work Plan 2021-2025</w:t>
      </w:r>
    </w:p>
    <w:p w14:paraId="5227BECD" w14:textId="77777777" w:rsidR="005074DE" w:rsidRPr="00661181" w:rsidRDefault="005074DE" w:rsidP="005074DE">
      <w:pPr>
        <w:pStyle w:val="Heading2"/>
        <w:numPr>
          <w:ilvl w:val="0"/>
          <w:numId w:val="4"/>
        </w:numPr>
        <w:ind w:left="709" w:hanging="309"/>
        <w:rPr>
          <w:rFonts w:ascii="Book Antiqua" w:hAnsi="Book Antiqua" w:cs="Tahoma"/>
          <w:color w:val="002060"/>
          <w:sz w:val="24"/>
          <w:szCs w:val="24"/>
        </w:rPr>
      </w:pPr>
      <w:r>
        <w:rPr>
          <w:rFonts w:ascii="Book Antiqua" w:hAnsi="Book Antiqua" w:cs="Tahoma"/>
          <w:color w:val="002060"/>
          <w:sz w:val="24"/>
          <w:szCs w:val="24"/>
        </w:rPr>
        <w:t>Introduction</w:t>
      </w:r>
    </w:p>
    <w:p w14:paraId="59CFAB31" w14:textId="77777777" w:rsidR="005074DE" w:rsidRPr="00661181" w:rsidRDefault="005074DE" w:rsidP="005074DE">
      <w:pPr>
        <w:pStyle w:val="ListParagraph"/>
        <w:numPr>
          <w:ilvl w:val="0"/>
          <w:numId w:val="6"/>
        </w:numPr>
        <w:jc w:val="both"/>
        <w:rPr>
          <w:rFonts w:ascii="Book Antiqua" w:hAnsi="Book Antiqua" w:cs="Tahoma"/>
        </w:rPr>
      </w:pPr>
      <w:r>
        <w:rPr>
          <w:rFonts w:ascii="Book Antiqua" w:hAnsi="Book Antiqua" w:cs="Tahoma"/>
        </w:rPr>
        <w:t>The NEACAP Terms of Reference (TOR) adopted at the 22</w:t>
      </w:r>
      <w:r>
        <w:rPr>
          <w:rFonts w:ascii="Book Antiqua" w:hAnsi="Book Antiqua" w:cs="Tahoma"/>
          <w:vertAlign w:val="superscript"/>
        </w:rPr>
        <w:t>nd</w:t>
      </w:r>
      <w:r>
        <w:rPr>
          <w:rFonts w:ascii="Book Antiqua" w:hAnsi="Book Antiqua" w:cs="Tahoma"/>
        </w:rPr>
        <w:t xml:space="preserve"> Senior Officials Meeting of NEASPEC in 2018 defines the partnership objectives as follows to ensure protection of the environment and human health from air pollution in North-East Asia</w:t>
      </w:r>
      <w:r>
        <w:rPr>
          <w:rStyle w:val="FootnoteReference"/>
          <w:rFonts w:ascii="Book Antiqua" w:hAnsi="Book Antiqua"/>
        </w:rPr>
        <w:footnoteReference w:id="2"/>
      </w:r>
      <w:r w:rsidRPr="00562A28">
        <w:rPr>
          <w:rFonts w:ascii="Book Antiqua" w:hAnsi="Book Antiqua" w:cs="Tahoma"/>
        </w:rPr>
        <w:t>.</w:t>
      </w:r>
    </w:p>
    <w:p w14:paraId="0EE76626" w14:textId="77777777" w:rsidR="005074DE" w:rsidRPr="00661181" w:rsidRDefault="005074DE" w:rsidP="005074DE">
      <w:pPr>
        <w:pStyle w:val="ListParagraph"/>
        <w:ind w:left="800"/>
        <w:jc w:val="both"/>
        <w:rPr>
          <w:rFonts w:ascii="Book Antiqua" w:hAnsi="Book Antiqua" w:cs="Tahoma"/>
        </w:rPr>
      </w:pPr>
    </w:p>
    <w:p w14:paraId="5E467022" w14:textId="77777777" w:rsidR="005074DE" w:rsidRPr="00661181" w:rsidRDefault="005074DE" w:rsidP="005074DE">
      <w:pPr>
        <w:pStyle w:val="ListParagraph"/>
        <w:numPr>
          <w:ilvl w:val="0"/>
          <w:numId w:val="2"/>
        </w:numPr>
        <w:ind w:left="1276"/>
        <w:jc w:val="both"/>
        <w:rPr>
          <w:rFonts w:ascii="Book Antiqua" w:hAnsi="Book Antiqua" w:cs="Tahoma"/>
        </w:rPr>
      </w:pPr>
      <w:r w:rsidRPr="00562A28">
        <w:rPr>
          <w:rFonts w:ascii="Book Antiqua" w:hAnsi="Book Antiqua" w:cs="Tahoma"/>
        </w:rPr>
        <w:t xml:space="preserve">To promote environmental cooperation, including its science, policy, and technical aspects, on atmospheric air protection in the transboundary context in the </w:t>
      </w:r>
      <w:proofErr w:type="gramStart"/>
      <w:r w:rsidRPr="00562A28">
        <w:rPr>
          <w:rFonts w:ascii="Book Antiqua" w:hAnsi="Book Antiqua" w:cs="Tahoma"/>
        </w:rPr>
        <w:t>subregion</w:t>
      </w:r>
      <w:r w:rsidRPr="00562A28">
        <w:rPr>
          <w:rFonts w:ascii="Book Antiqua" w:eastAsia="DengXian" w:hAnsi="Book Antiqua" w:cs="Tahoma"/>
          <w:lang w:eastAsia="zh-CN"/>
        </w:rPr>
        <w:t>;</w:t>
      </w:r>
      <w:proofErr w:type="gramEnd"/>
    </w:p>
    <w:p w14:paraId="4F48A842" w14:textId="77777777" w:rsidR="005074DE" w:rsidRPr="00661181" w:rsidRDefault="005074DE" w:rsidP="005074DE">
      <w:pPr>
        <w:pStyle w:val="ListParagraph"/>
        <w:numPr>
          <w:ilvl w:val="0"/>
          <w:numId w:val="2"/>
        </w:numPr>
        <w:ind w:left="1276"/>
        <w:jc w:val="both"/>
        <w:rPr>
          <w:rFonts w:ascii="Book Antiqua" w:hAnsi="Book Antiqua" w:cs="Tahoma"/>
        </w:rPr>
      </w:pPr>
      <w:r w:rsidRPr="00562A28">
        <w:rPr>
          <w:rFonts w:ascii="Book Antiqua" w:hAnsi="Book Antiqua" w:cs="Tahoma"/>
        </w:rPr>
        <w:t xml:space="preserve">To enhance and further develop information and experience exchange in national and transboundary air pollution </w:t>
      </w:r>
      <w:proofErr w:type="gramStart"/>
      <w:r w:rsidRPr="00562A28">
        <w:rPr>
          <w:rFonts w:ascii="Book Antiqua" w:hAnsi="Book Antiqua" w:cs="Tahoma"/>
        </w:rPr>
        <w:t>matters</w:t>
      </w:r>
      <w:r w:rsidRPr="00562A28">
        <w:rPr>
          <w:rFonts w:ascii="Book Antiqua" w:eastAsia="DengXian" w:hAnsi="Book Antiqua" w:cs="Tahoma"/>
          <w:lang w:eastAsia="zh-CN"/>
        </w:rPr>
        <w:t>;</w:t>
      </w:r>
      <w:proofErr w:type="gramEnd"/>
    </w:p>
    <w:p w14:paraId="316BD900" w14:textId="77777777" w:rsidR="005074DE" w:rsidRPr="00661181" w:rsidRDefault="005074DE" w:rsidP="005074DE">
      <w:pPr>
        <w:pStyle w:val="ListParagraph"/>
        <w:numPr>
          <w:ilvl w:val="0"/>
          <w:numId w:val="2"/>
        </w:numPr>
        <w:ind w:left="1276"/>
        <w:jc w:val="both"/>
        <w:rPr>
          <w:rFonts w:ascii="Book Antiqua" w:hAnsi="Book Antiqua" w:cs="Tahoma"/>
        </w:rPr>
      </w:pPr>
      <w:r w:rsidRPr="00562A28">
        <w:rPr>
          <w:rFonts w:ascii="Book Antiqua" w:hAnsi="Book Antiqua" w:cs="Tahoma"/>
        </w:rPr>
        <w:t>To act as the key voluntary framework in addressing transboundary air pollution issues in North-East Asia</w:t>
      </w:r>
      <w:r w:rsidRPr="00562A28">
        <w:rPr>
          <w:rFonts w:ascii="Book Antiqua" w:eastAsia="SimSun" w:hAnsi="Book Antiqua" w:cs="Tahoma"/>
          <w:lang w:eastAsia="zh-CN"/>
        </w:rPr>
        <w:t xml:space="preserve">, covering China, the Democratic People’s Republic of Korea, Japan, Mongolia, the Republic of Korea and the Russian </w:t>
      </w:r>
      <w:proofErr w:type="gramStart"/>
      <w:r w:rsidRPr="00562A28">
        <w:rPr>
          <w:rFonts w:ascii="Book Antiqua" w:eastAsia="SimSun" w:hAnsi="Book Antiqua" w:cs="Tahoma"/>
          <w:lang w:eastAsia="zh-CN"/>
        </w:rPr>
        <w:t>Federation;</w:t>
      </w:r>
      <w:proofErr w:type="gramEnd"/>
    </w:p>
    <w:p w14:paraId="1170937E" w14:textId="77777777" w:rsidR="005074DE" w:rsidRPr="00661181" w:rsidRDefault="005074DE" w:rsidP="005074DE">
      <w:pPr>
        <w:pStyle w:val="ListParagraph"/>
        <w:numPr>
          <w:ilvl w:val="0"/>
          <w:numId w:val="2"/>
        </w:numPr>
        <w:ind w:left="1276"/>
        <w:jc w:val="both"/>
        <w:rPr>
          <w:rFonts w:ascii="Book Antiqua" w:hAnsi="Book Antiqua" w:cs="Tahoma"/>
        </w:rPr>
      </w:pPr>
      <w:r w:rsidRPr="00562A28">
        <w:rPr>
          <w:rFonts w:ascii="Book Antiqua" w:hAnsi="Book Antiqua" w:cs="Tahoma"/>
        </w:rPr>
        <w:t xml:space="preserve">To contribute, as appropriate, to the development of relevant national and </w:t>
      </w:r>
      <w:proofErr w:type="spellStart"/>
      <w:r w:rsidRPr="00562A28">
        <w:rPr>
          <w:rFonts w:ascii="Book Antiqua" w:hAnsi="Book Antiqua" w:cs="Tahoma"/>
        </w:rPr>
        <w:t>subregional</w:t>
      </w:r>
      <w:proofErr w:type="spellEnd"/>
      <w:r w:rsidRPr="00562A28">
        <w:rPr>
          <w:rFonts w:ascii="Book Antiqua" w:hAnsi="Book Antiqua" w:cs="Tahoma"/>
        </w:rPr>
        <w:t xml:space="preserve"> policies addressing air pollution based on regional and national scientific </w:t>
      </w:r>
      <w:proofErr w:type="gramStart"/>
      <w:r w:rsidRPr="00562A28">
        <w:rPr>
          <w:rFonts w:ascii="Book Antiqua" w:hAnsi="Book Antiqua" w:cs="Tahoma"/>
        </w:rPr>
        <w:t>research</w:t>
      </w:r>
      <w:r w:rsidRPr="00562A28">
        <w:rPr>
          <w:rFonts w:ascii="Book Antiqua" w:eastAsia="DengXian" w:hAnsi="Book Antiqua" w:cs="Tahoma"/>
          <w:lang w:eastAsia="zh-CN"/>
        </w:rPr>
        <w:t>;</w:t>
      </w:r>
      <w:proofErr w:type="gramEnd"/>
    </w:p>
    <w:p w14:paraId="26D70EFC" w14:textId="77777777" w:rsidR="005074DE" w:rsidRDefault="005074DE" w:rsidP="005074DE">
      <w:pPr>
        <w:pStyle w:val="ListParagraph"/>
        <w:numPr>
          <w:ilvl w:val="0"/>
          <w:numId w:val="2"/>
        </w:numPr>
        <w:ind w:left="1276"/>
        <w:jc w:val="both"/>
        <w:rPr>
          <w:rFonts w:ascii="Book Antiqua" w:hAnsi="Book Antiqua" w:cs="Tahoma"/>
        </w:rPr>
      </w:pPr>
      <w:r w:rsidRPr="00562A28">
        <w:rPr>
          <w:rFonts w:ascii="Book Antiqua" w:hAnsi="Book Antiqua" w:cs="Tahoma"/>
        </w:rPr>
        <w:t xml:space="preserve">To promote knowledge on environmental and human health aspects of air pollution in the North-East Asian subregion. </w:t>
      </w:r>
    </w:p>
    <w:p w14:paraId="23669498" w14:textId="77777777" w:rsidR="005074DE" w:rsidRDefault="005074DE" w:rsidP="005074DE">
      <w:pPr>
        <w:pStyle w:val="ListParagraph"/>
        <w:ind w:left="1276"/>
        <w:jc w:val="both"/>
        <w:rPr>
          <w:rFonts w:ascii="Book Antiqua" w:hAnsi="Book Antiqua" w:cs="Tahoma"/>
        </w:rPr>
      </w:pPr>
    </w:p>
    <w:p w14:paraId="315F43CA" w14:textId="77777777" w:rsidR="005074DE" w:rsidRPr="00661181" w:rsidRDefault="005074DE" w:rsidP="005074DE">
      <w:pPr>
        <w:pStyle w:val="ListParagraph"/>
        <w:numPr>
          <w:ilvl w:val="0"/>
          <w:numId w:val="6"/>
        </w:numPr>
        <w:jc w:val="both"/>
        <w:rPr>
          <w:rFonts w:ascii="Book Antiqua" w:hAnsi="Book Antiqua" w:cs="Tahoma"/>
        </w:rPr>
      </w:pPr>
      <w:r w:rsidRPr="00562A28">
        <w:rPr>
          <w:rFonts w:ascii="Book Antiqua" w:eastAsia="DengXian" w:hAnsi="Book Antiqua" w:cs="Tahoma"/>
          <w:lang w:eastAsia="zh-CN"/>
        </w:rPr>
        <w:t xml:space="preserve">According to </w:t>
      </w:r>
      <w:r w:rsidRPr="00562A28">
        <w:rPr>
          <w:rFonts w:ascii="Book Antiqua" w:hAnsi="Book Antiqua" w:cs="Tahoma"/>
        </w:rPr>
        <w:t>the NEACAP TOR (hereinafter as “the TOR”)</w:t>
      </w:r>
      <w:r w:rsidRPr="00562A28">
        <w:rPr>
          <w:rFonts w:ascii="Book Antiqua" w:eastAsia="DengXian" w:hAnsi="Book Antiqua" w:cs="Tahoma"/>
          <w:lang w:eastAsia="zh-CN"/>
        </w:rPr>
        <w:t>,</w:t>
      </w:r>
      <w:r w:rsidRPr="00562A28">
        <w:rPr>
          <w:rFonts w:ascii="Book Antiqua" w:hAnsi="Book Antiqua" w:cs="Tahoma"/>
        </w:rPr>
        <w:t xml:space="preserve"> the core </w:t>
      </w:r>
      <w:proofErr w:type="spellStart"/>
      <w:r w:rsidRPr="00562A28">
        <w:rPr>
          <w:rFonts w:ascii="Book Antiqua" w:hAnsi="Book Antiqua" w:cs="Tahoma"/>
        </w:rPr>
        <w:t>programme</w:t>
      </w:r>
      <w:r w:rsidRPr="00562A28">
        <w:rPr>
          <w:rFonts w:ascii="Book Antiqua" w:eastAsia="DengXian" w:hAnsi="Book Antiqua" w:cs="Tahoma"/>
          <w:lang w:eastAsia="zh-CN"/>
        </w:rPr>
        <w:t>s</w:t>
      </w:r>
      <w:proofErr w:type="spellEnd"/>
      <w:r w:rsidRPr="00562A28">
        <w:rPr>
          <w:rFonts w:ascii="Book Antiqua" w:eastAsia="DengXian" w:hAnsi="Book Antiqua" w:cs="Tahoma"/>
          <w:lang w:eastAsia="zh-CN"/>
        </w:rPr>
        <w:t xml:space="preserve"> of</w:t>
      </w:r>
      <w:r w:rsidRPr="00562A28">
        <w:rPr>
          <w:rFonts w:ascii="Book Antiqua" w:hAnsi="Book Antiqua" w:cs="Tahoma"/>
        </w:rPr>
        <w:t xml:space="preserve"> NEACAP </w:t>
      </w:r>
      <w:r w:rsidRPr="00562A28">
        <w:rPr>
          <w:rFonts w:ascii="Book Antiqua" w:eastAsia="DengXian" w:hAnsi="Book Antiqua" w:cs="Tahoma"/>
          <w:lang w:eastAsia="zh-CN"/>
        </w:rPr>
        <w:t>include</w:t>
      </w:r>
      <w:r w:rsidRPr="00562A28">
        <w:rPr>
          <w:rFonts w:ascii="Book Antiqua" w:hAnsi="Book Antiqua" w:cs="Tahoma"/>
        </w:rPr>
        <w:t xml:space="preserve">: </w:t>
      </w:r>
    </w:p>
    <w:p w14:paraId="2EB87B8B" w14:textId="77777777" w:rsidR="005074DE" w:rsidRPr="00661181" w:rsidRDefault="005074DE" w:rsidP="005074DE">
      <w:pPr>
        <w:pStyle w:val="ListParagraph"/>
        <w:ind w:left="800"/>
        <w:jc w:val="both"/>
        <w:rPr>
          <w:rFonts w:ascii="Book Antiqua" w:eastAsia="DengXian" w:hAnsi="Book Antiqua" w:cs="Tahoma"/>
          <w:lang w:eastAsia="zh-CN"/>
        </w:rPr>
      </w:pPr>
      <w:proofErr w:type="spellStart"/>
      <w:r w:rsidRPr="00562A28">
        <w:rPr>
          <w:rFonts w:ascii="Book Antiqua" w:eastAsia="DengXian" w:hAnsi="Book Antiqua" w:cs="Tahoma"/>
          <w:lang w:eastAsia="zh-CN"/>
        </w:rPr>
        <w:t>i</w:t>
      </w:r>
      <w:proofErr w:type="spellEnd"/>
      <w:r w:rsidRPr="00562A28">
        <w:rPr>
          <w:rFonts w:ascii="Book Antiqua" w:hAnsi="Book Antiqua" w:cs="Tahoma"/>
        </w:rPr>
        <w:t>. Exchang</w:t>
      </w:r>
      <w:r w:rsidRPr="00562A28">
        <w:rPr>
          <w:rFonts w:ascii="Book Antiqua" w:eastAsia="DengXian" w:hAnsi="Book Antiqua" w:cs="Tahoma"/>
          <w:lang w:eastAsia="zh-CN"/>
        </w:rPr>
        <w:t>e</w:t>
      </w:r>
      <w:r w:rsidRPr="00562A28">
        <w:rPr>
          <w:rFonts w:ascii="Book Antiqua" w:hAnsi="Book Antiqua" w:cs="Tahoma"/>
        </w:rPr>
        <w:t xml:space="preserve"> relevant information and </w:t>
      </w:r>
      <w:proofErr w:type="gramStart"/>
      <w:r w:rsidRPr="00562A28">
        <w:rPr>
          <w:rFonts w:ascii="Book Antiqua" w:hAnsi="Book Antiqua" w:cs="Tahoma"/>
        </w:rPr>
        <w:t>data,</w:t>
      </w:r>
      <w:r w:rsidRPr="00562A28">
        <w:rPr>
          <w:rFonts w:ascii="Book Antiqua" w:eastAsia="DengXian" w:hAnsi="Book Antiqua" w:cs="Tahoma"/>
          <w:lang w:eastAsia="zh-CN"/>
        </w:rPr>
        <w:t xml:space="preserve"> if</w:t>
      </w:r>
      <w:proofErr w:type="gramEnd"/>
      <w:r w:rsidRPr="00562A28">
        <w:rPr>
          <w:rFonts w:ascii="Book Antiqua" w:eastAsia="DengXian" w:hAnsi="Book Antiqua" w:cs="Tahoma"/>
          <w:lang w:eastAsia="zh-CN"/>
        </w:rPr>
        <w:t xml:space="preserve"> available covering: </w:t>
      </w:r>
    </w:p>
    <w:p w14:paraId="76685132" w14:textId="77777777" w:rsidR="005074DE" w:rsidRPr="00661181" w:rsidRDefault="005074DE" w:rsidP="005074DE">
      <w:pPr>
        <w:pStyle w:val="ListParagraph"/>
        <w:numPr>
          <w:ilvl w:val="0"/>
          <w:numId w:val="25"/>
        </w:numPr>
        <w:jc w:val="both"/>
        <w:rPr>
          <w:rFonts w:ascii="Book Antiqua" w:hAnsi="Book Antiqua" w:cs="Tahoma"/>
        </w:rPr>
      </w:pPr>
      <w:r w:rsidRPr="00562A28">
        <w:rPr>
          <w:rFonts w:ascii="Book Antiqua" w:eastAsia="DengXian" w:hAnsi="Book Antiqua" w:cs="Tahoma"/>
          <w:lang w:eastAsia="zh-CN"/>
        </w:rPr>
        <w:t>Emission data of the target pollutants of NEACAP</w:t>
      </w:r>
      <w:r>
        <w:rPr>
          <w:rStyle w:val="FootnoteReference"/>
          <w:rFonts w:ascii="Book Antiqua" w:eastAsia="DengXian" w:hAnsi="Book Antiqua"/>
          <w:lang w:eastAsia="zh-CN"/>
        </w:rPr>
        <w:footnoteReference w:id="3"/>
      </w:r>
      <w:r w:rsidRPr="00562A28">
        <w:rPr>
          <w:rFonts w:ascii="Book Antiqua" w:eastAsia="DengXian" w:hAnsi="Book Antiqua" w:cs="Tahoma"/>
          <w:lang w:eastAsia="zh-CN"/>
        </w:rPr>
        <w:t xml:space="preserve">, </w:t>
      </w:r>
      <w:bookmarkStart w:id="0" w:name="_Hlk46505407"/>
      <w:r w:rsidRPr="00562A28">
        <w:rPr>
          <w:rFonts w:ascii="Book Antiqua" w:eastAsia="DengXian" w:hAnsi="Book Antiqua" w:cs="Tahoma"/>
          <w:lang w:eastAsia="zh-CN"/>
        </w:rPr>
        <w:t>at periods of time and formats to be agreed upon,</w:t>
      </w:r>
      <w:bookmarkEnd w:id="0"/>
    </w:p>
    <w:p w14:paraId="1AFFD2DE" w14:textId="77777777" w:rsidR="005074DE" w:rsidRPr="00661181" w:rsidRDefault="005074DE" w:rsidP="005074DE">
      <w:pPr>
        <w:pStyle w:val="ListParagraph"/>
        <w:numPr>
          <w:ilvl w:val="0"/>
          <w:numId w:val="25"/>
        </w:numPr>
        <w:jc w:val="both"/>
        <w:rPr>
          <w:rFonts w:ascii="Book Antiqua" w:hAnsi="Book Antiqua" w:cs="Tahoma"/>
        </w:rPr>
      </w:pPr>
      <w:r w:rsidRPr="00661181">
        <w:rPr>
          <w:rFonts w:ascii="Book Antiqua" w:eastAsia="DengXian" w:hAnsi="Book Antiqua" w:cs="Tahoma"/>
          <w:lang w:eastAsia="zh-CN"/>
        </w:rPr>
        <w:t>I</w:t>
      </w:r>
      <w:r w:rsidRPr="00562A28">
        <w:rPr>
          <w:rFonts w:ascii="Book Antiqua" w:eastAsia="DengXian" w:hAnsi="Book Antiqua" w:cs="Tahoma"/>
          <w:lang w:eastAsia="zh-CN"/>
        </w:rPr>
        <w:t xml:space="preserve">nformation on the transport and deposition of target pollutants, </w:t>
      </w:r>
    </w:p>
    <w:p w14:paraId="6349511C" w14:textId="77777777" w:rsidR="005074DE" w:rsidRPr="00661181" w:rsidRDefault="005074DE" w:rsidP="005074DE">
      <w:pPr>
        <w:pStyle w:val="ListParagraph"/>
        <w:numPr>
          <w:ilvl w:val="0"/>
          <w:numId w:val="25"/>
        </w:numPr>
        <w:jc w:val="both"/>
        <w:rPr>
          <w:rFonts w:ascii="Book Antiqua" w:hAnsi="Book Antiqua" w:cs="Tahoma"/>
        </w:rPr>
      </w:pPr>
      <w:r w:rsidRPr="00562A28">
        <w:rPr>
          <w:rFonts w:ascii="Book Antiqua" w:eastAsia="DengXian" w:hAnsi="Book Antiqua" w:cs="Tahoma"/>
          <w:lang w:eastAsia="zh-CN"/>
        </w:rPr>
        <w:t xml:space="preserve">Information on emissions control technologies and national policies in use and/or under-development, and </w:t>
      </w:r>
    </w:p>
    <w:p w14:paraId="0EB97D6F" w14:textId="77777777" w:rsidR="005074DE" w:rsidRPr="00661181" w:rsidRDefault="005074DE" w:rsidP="005074DE">
      <w:pPr>
        <w:pStyle w:val="ListParagraph"/>
        <w:numPr>
          <w:ilvl w:val="0"/>
          <w:numId w:val="25"/>
        </w:numPr>
        <w:spacing w:line="240" w:lineRule="auto"/>
        <w:jc w:val="both"/>
        <w:rPr>
          <w:rFonts w:ascii="Book Antiqua" w:hAnsi="Book Antiqua" w:cs="Tahoma"/>
        </w:rPr>
      </w:pPr>
      <w:r w:rsidRPr="00562A28">
        <w:rPr>
          <w:rFonts w:ascii="Book Antiqua" w:eastAsia="DengXian" w:hAnsi="Book Antiqua" w:cs="Tahoma"/>
          <w:lang w:eastAsia="zh-CN"/>
        </w:rPr>
        <w:t xml:space="preserve">Information on experience and challenges of researches on modeling and emission </w:t>
      </w:r>
      <w:proofErr w:type="gramStart"/>
      <w:r w:rsidRPr="00562A28">
        <w:rPr>
          <w:rFonts w:ascii="Book Antiqua" w:eastAsia="DengXian" w:hAnsi="Book Antiqua" w:cs="Tahoma"/>
          <w:lang w:eastAsia="zh-CN"/>
        </w:rPr>
        <w:t>inventory;</w:t>
      </w:r>
      <w:proofErr w:type="gramEnd"/>
      <w:r w:rsidRPr="00562A28">
        <w:rPr>
          <w:rFonts w:ascii="Book Antiqua" w:hAnsi="Book Antiqua" w:cs="Tahoma"/>
        </w:rPr>
        <w:t xml:space="preserve"> </w:t>
      </w:r>
    </w:p>
    <w:p w14:paraId="7D0DD221" w14:textId="77777777" w:rsidR="005074DE" w:rsidRPr="00661181" w:rsidRDefault="005074DE" w:rsidP="005074DE">
      <w:pPr>
        <w:spacing w:line="240" w:lineRule="auto"/>
        <w:ind w:left="800"/>
        <w:jc w:val="both"/>
        <w:rPr>
          <w:rFonts w:eastAsia="SimSun"/>
          <w:lang w:eastAsia="zh-CN"/>
        </w:rPr>
      </w:pPr>
      <w:r w:rsidRPr="00562A28">
        <w:rPr>
          <w:rFonts w:eastAsia="DengXian"/>
          <w:lang w:eastAsia="zh-CN"/>
        </w:rPr>
        <w:t>ii</w:t>
      </w:r>
      <w:r w:rsidRPr="00562A28">
        <w:t>. Coordinat</w:t>
      </w:r>
      <w:r w:rsidRPr="00562A28">
        <w:rPr>
          <w:rFonts w:eastAsia="DengXian"/>
          <w:lang w:eastAsia="zh-CN"/>
        </w:rPr>
        <w:t>e</w:t>
      </w:r>
      <w:r w:rsidRPr="00562A28">
        <w:t xml:space="preserve"> with relevant mechanisms and synthesize their results</w:t>
      </w:r>
      <w:r w:rsidRPr="00562A28">
        <w:rPr>
          <w:rFonts w:eastAsia="DengXian"/>
          <w:lang w:eastAsia="zh-CN"/>
        </w:rPr>
        <w:t xml:space="preserve"> </w:t>
      </w:r>
      <w:r w:rsidRPr="00562A28">
        <w:rPr>
          <w:rFonts w:eastAsia="SimSun"/>
          <w:lang w:eastAsia="zh-CN"/>
        </w:rPr>
        <w:t xml:space="preserve">in accordance with the NEACAP activities including: </w:t>
      </w:r>
    </w:p>
    <w:p w14:paraId="16432EC8" w14:textId="77777777" w:rsidR="005074DE" w:rsidRPr="00661181" w:rsidRDefault="005074DE" w:rsidP="005074DE">
      <w:pPr>
        <w:pStyle w:val="ListParagraph"/>
        <w:numPr>
          <w:ilvl w:val="0"/>
          <w:numId w:val="26"/>
        </w:numPr>
        <w:jc w:val="both"/>
        <w:rPr>
          <w:rFonts w:ascii="Book Antiqua" w:eastAsia="DengXian" w:hAnsi="Book Antiqua" w:cs="Tahoma"/>
          <w:lang w:eastAsia="zh-CN"/>
        </w:rPr>
      </w:pPr>
      <w:proofErr w:type="spellStart"/>
      <w:r w:rsidRPr="00562A28">
        <w:rPr>
          <w:rFonts w:ascii="Book Antiqua" w:eastAsia="DengXian" w:hAnsi="Book Antiqua" w:cs="Tahoma"/>
          <w:lang w:eastAsia="zh-CN"/>
        </w:rPr>
        <w:t>Subregional</w:t>
      </w:r>
      <w:proofErr w:type="spellEnd"/>
      <w:r w:rsidRPr="00562A28">
        <w:rPr>
          <w:rFonts w:ascii="Book Antiqua" w:eastAsia="DengXian" w:hAnsi="Book Antiqua" w:cs="Tahoma"/>
          <w:lang w:eastAsia="zh-CN"/>
        </w:rPr>
        <w:t xml:space="preserve"> emissions inventory development and maintenance, </w:t>
      </w:r>
    </w:p>
    <w:p w14:paraId="2A666CA0" w14:textId="77777777" w:rsidR="005074DE" w:rsidRPr="00661181" w:rsidRDefault="005074DE" w:rsidP="005074DE">
      <w:pPr>
        <w:pStyle w:val="ListParagraph"/>
        <w:numPr>
          <w:ilvl w:val="0"/>
          <w:numId w:val="26"/>
        </w:numPr>
        <w:jc w:val="both"/>
        <w:rPr>
          <w:rFonts w:ascii="Book Antiqua" w:eastAsia="DengXian" w:hAnsi="Book Antiqua" w:cs="Tahoma"/>
          <w:lang w:eastAsia="zh-CN"/>
        </w:rPr>
      </w:pPr>
      <w:r w:rsidRPr="00562A28">
        <w:rPr>
          <w:rFonts w:ascii="Book Antiqua" w:hAnsi="Book Antiqua"/>
        </w:rPr>
        <w:t xml:space="preserve">Air pollution monitoring through existing </w:t>
      </w:r>
      <w:proofErr w:type="spellStart"/>
      <w:r w:rsidRPr="00562A28">
        <w:rPr>
          <w:rFonts w:ascii="Book Antiqua" w:hAnsi="Book Antiqua"/>
        </w:rPr>
        <w:t>programmes</w:t>
      </w:r>
      <w:proofErr w:type="spellEnd"/>
      <w:r w:rsidRPr="00562A28">
        <w:rPr>
          <w:rFonts w:ascii="Book Antiqua" w:hAnsi="Book Antiqua"/>
        </w:rPr>
        <w:t xml:space="preserve"> and frameworks, including national networks and multilateral initiatives, </w:t>
      </w:r>
    </w:p>
    <w:p w14:paraId="3661F1EB" w14:textId="77777777" w:rsidR="005074DE" w:rsidRPr="00661181" w:rsidRDefault="005074DE" w:rsidP="005074DE">
      <w:pPr>
        <w:pStyle w:val="ListParagraph"/>
        <w:numPr>
          <w:ilvl w:val="0"/>
          <w:numId w:val="26"/>
        </w:numPr>
        <w:jc w:val="both"/>
        <w:rPr>
          <w:rFonts w:ascii="Book Antiqua" w:eastAsia="DengXian" w:hAnsi="Book Antiqua" w:cs="Tahoma"/>
          <w:lang w:eastAsia="zh-CN"/>
        </w:rPr>
      </w:pPr>
      <w:r w:rsidRPr="00562A28">
        <w:rPr>
          <w:rFonts w:ascii="Book Antiqua" w:hAnsi="Book Antiqua"/>
        </w:rPr>
        <w:t xml:space="preserve">National and regional pollution transport and deposition modeling and model comparison, including source-receptor relationships (SRR) modeling, and </w:t>
      </w:r>
    </w:p>
    <w:p w14:paraId="668A9C43" w14:textId="77777777" w:rsidR="005074DE" w:rsidRPr="00661181" w:rsidRDefault="005074DE" w:rsidP="005074DE">
      <w:pPr>
        <w:pStyle w:val="ListParagraph"/>
        <w:numPr>
          <w:ilvl w:val="0"/>
          <w:numId w:val="26"/>
        </w:numPr>
        <w:jc w:val="both"/>
        <w:rPr>
          <w:rFonts w:ascii="Book Antiqua" w:eastAsia="DengXian" w:hAnsi="Book Antiqua" w:cs="Tahoma"/>
          <w:lang w:eastAsia="zh-CN"/>
        </w:rPr>
      </w:pPr>
      <w:r w:rsidRPr="00562A28">
        <w:rPr>
          <w:rFonts w:ascii="Book Antiqua" w:hAnsi="Book Antiqua"/>
        </w:rPr>
        <w:lastRenderedPageBreak/>
        <w:t xml:space="preserve">Integrated assessment </w:t>
      </w:r>
      <w:proofErr w:type="gramStart"/>
      <w:r w:rsidRPr="00562A28">
        <w:rPr>
          <w:rFonts w:ascii="Book Antiqua" w:hAnsi="Book Antiqua"/>
        </w:rPr>
        <w:t>modeling;</w:t>
      </w:r>
      <w:proofErr w:type="gramEnd"/>
    </w:p>
    <w:p w14:paraId="6E9992A6" w14:textId="77777777" w:rsidR="005074DE" w:rsidRPr="00661181" w:rsidRDefault="005074DE" w:rsidP="005074DE">
      <w:pPr>
        <w:spacing w:line="240" w:lineRule="auto"/>
        <w:ind w:left="800"/>
        <w:jc w:val="both"/>
      </w:pPr>
      <w:r w:rsidRPr="00562A28">
        <w:rPr>
          <w:rFonts w:eastAsia="DengXian"/>
          <w:lang w:eastAsia="zh-CN"/>
        </w:rPr>
        <w:t>iii</w:t>
      </w:r>
      <w:r w:rsidRPr="00562A28">
        <w:t>. Propos</w:t>
      </w:r>
      <w:r w:rsidRPr="00562A28">
        <w:rPr>
          <w:rFonts w:eastAsia="DengXian"/>
          <w:lang w:eastAsia="zh-CN"/>
        </w:rPr>
        <w:t>e</w:t>
      </w:r>
      <w:r w:rsidRPr="00562A28">
        <w:t xml:space="preserve"> potential technical and policy measures to tackle air pollution through: </w:t>
      </w:r>
    </w:p>
    <w:p w14:paraId="149BE21E" w14:textId="77777777" w:rsidR="005074DE" w:rsidRPr="00661181" w:rsidRDefault="005074DE" w:rsidP="005074DE">
      <w:pPr>
        <w:pStyle w:val="ListParagraph"/>
        <w:numPr>
          <w:ilvl w:val="0"/>
          <w:numId w:val="27"/>
        </w:numPr>
        <w:jc w:val="both"/>
        <w:rPr>
          <w:rFonts w:ascii="Book Antiqua" w:hAnsi="Book Antiqua"/>
        </w:rPr>
      </w:pPr>
      <w:r w:rsidRPr="00562A28">
        <w:rPr>
          <w:rFonts w:ascii="Book Antiqua" w:hAnsi="Book Antiqua"/>
        </w:rPr>
        <w:t>Science-based, policy-oriented consultations among national scientists, experts, policy- and decision-makers of the member States,</w:t>
      </w:r>
    </w:p>
    <w:p w14:paraId="3B3E5D75" w14:textId="77777777" w:rsidR="005074DE" w:rsidRPr="00661181" w:rsidRDefault="005074DE" w:rsidP="005074DE">
      <w:pPr>
        <w:pStyle w:val="ListParagraph"/>
        <w:numPr>
          <w:ilvl w:val="0"/>
          <w:numId w:val="27"/>
        </w:numPr>
        <w:jc w:val="both"/>
        <w:rPr>
          <w:rFonts w:ascii="Book Antiqua" w:hAnsi="Book Antiqua"/>
        </w:rPr>
      </w:pPr>
      <w:r w:rsidRPr="00562A28">
        <w:rPr>
          <w:rFonts w:ascii="Book Antiqua" w:hAnsi="Book Antiqua"/>
        </w:rPr>
        <w:t xml:space="preserve">Development of technical and policy scenarios for future consideration, </w:t>
      </w:r>
    </w:p>
    <w:p w14:paraId="6294330F" w14:textId="77777777" w:rsidR="005074DE" w:rsidRPr="00661181" w:rsidRDefault="005074DE" w:rsidP="005074DE">
      <w:pPr>
        <w:pStyle w:val="ListParagraph"/>
        <w:numPr>
          <w:ilvl w:val="0"/>
          <w:numId w:val="27"/>
        </w:numPr>
        <w:jc w:val="both"/>
        <w:rPr>
          <w:rFonts w:ascii="Book Antiqua" w:hAnsi="Book Antiqua"/>
        </w:rPr>
      </w:pPr>
      <w:r w:rsidRPr="00562A28">
        <w:rPr>
          <w:rFonts w:ascii="Book Antiqua" w:hAnsi="Book Antiqua"/>
        </w:rPr>
        <w:t xml:space="preserve">Exchange of information on emerging technologies and potential for technological cooperation on mitigation pollution, and </w:t>
      </w:r>
    </w:p>
    <w:p w14:paraId="6A77B351" w14:textId="77777777" w:rsidR="005074DE" w:rsidRPr="00661181" w:rsidRDefault="005074DE" w:rsidP="005074DE">
      <w:pPr>
        <w:pStyle w:val="ListParagraph"/>
        <w:numPr>
          <w:ilvl w:val="0"/>
          <w:numId w:val="27"/>
        </w:numPr>
        <w:jc w:val="both"/>
        <w:rPr>
          <w:rFonts w:ascii="Book Antiqua" w:hAnsi="Book Antiqua"/>
        </w:rPr>
      </w:pPr>
      <w:r w:rsidRPr="00562A28">
        <w:rPr>
          <w:rFonts w:ascii="Book Antiqua" w:hAnsi="Book Antiqua"/>
        </w:rPr>
        <w:t xml:space="preserve">Sharing of information and lessons learnt on relevant good environmental practices applied nationally. </w:t>
      </w:r>
    </w:p>
    <w:p w14:paraId="0D2727B6" w14:textId="77777777" w:rsidR="005074DE" w:rsidRPr="00661181" w:rsidRDefault="005074DE" w:rsidP="005074DE">
      <w:pPr>
        <w:pStyle w:val="ListParagraph"/>
        <w:ind w:left="800"/>
        <w:jc w:val="both"/>
        <w:rPr>
          <w:rFonts w:ascii="Book Antiqua" w:hAnsi="Book Antiqua" w:cs="Tahoma"/>
        </w:rPr>
      </w:pPr>
    </w:p>
    <w:p w14:paraId="322B1934" w14:textId="77777777" w:rsidR="005074DE" w:rsidRPr="00661181" w:rsidRDefault="005074DE" w:rsidP="005074DE">
      <w:pPr>
        <w:pStyle w:val="ListParagraph"/>
        <w:numPr>
          <w:ilvl w:val="0"/>
          <w:numId w:val="6"/>
        </w:numPr>
        <w:jc w:val="both"/>
        <w:rPr>
          <w:rFonts w:ascii="Book Antiqua" w:hAnsi="Book Antiqua" w:cs="Tahoma"/>
        </w:rPr>
      </w:pPr>
      <w:r w:rsidRPr="00562A28">
        <w:rPr>
          <w:rFonts w:ascii="Book Antiqua" w:hAnsi="Book Antiqua" w:cs="Tahoma"/>
        </w:rPr>
        <w:t xml:space="preserve">The TOR defines that the core </w:t>
      </w:r>
      <w:proofErr w:type="spellStart"/>
      <w:r w:rsidRPr="00562A28">
        <w:rPr>
          <w:rFonts w:ascii="Book Antiqua" w:hAnsi="Book Antiqua" w:cs="Tahoma"/>
        </w:rPr>
        <w:t>programmes</w:t>
      </w:r>
      <w:proofErr w:type="spellEnd"/>
      <w:r w:rsidRPr="00562A28">
        <w:rPr>
          <w:rFonts w:ascii="Book Antiqua" w:hAnsi="Book Antiqua" w:cs="Tahoma"/>
        </w:rPr>
        <w:t xml:space="preserve"> of NEACAP are supported through (a) regular meetings and ad hoc meetings; (b) annual or biennial </w:t>
      </w:r>
      <w:proofErr w:type="spellStart"/>
      <w:r w:rsidRPr="00562A28">
        <w:rPr>
          <w:rFonts w:ascii="Book Antiqua" w:hAnsi="Book Antiqua" w:cs="Tahoma"/>
        </w:rPr>
        <w:t>subregional</w:t>
      </w:r>
      <w:proofErr w:type="spellEnd"/>
      <w:r w:rsidRPr="00562A28">
        <w:rPr>
          <w:rFonts w:ascii="Book Antiqua" w:hAnsi="Book Antiqua" w:cs="Tahoma"/>
        </w:rPr>
        <w:t xml:space="preserve"> review reports; (c) seminars, workshops and trainings; and (d) research projects, subject to the availability of resources.</w:t>
      </w:r>
    </w:p>
    <w:p w14:paraId="3A72C08C" w14:textId="77777777" w:rsidR="005074DE" w:rsidRPr="00661181" w:rsidRDefault="005074DE" w:rsidP="005074DE">
      <w:pPr>
        <w:pStyle w:val="ListParagraph"/>
        <w:ind w:left="800"/>
        <w:jc w:val="both"/>
        <w:rPr>
          <w:rFonts w:ascii="Book Antiqua" w:hAnsi="Book Antiqua" w:cs="Tahoma"/>
        </w:rPr>
      </w:pPr>
    </w:p>
    <w:p w14:paraId="5F51A0D6" w14:textId="77777777" w:rsidR="005074DE" w:rsidRPr="00661181" w:rsidRDefault="005074DE" w:rsidP="005074DE">
      <w:pPr>
        <w:pStyle w:val="ListParagraph"/>
        <w:numPr>
          <w:ilvl w:val="0"/>
          <w:numId w:val="6"/>
        </w:numPr>
        <w:jc w:val="both"/>
        <w:rPr>
          <w:rFonts w:ascii="Book Antiqua" w:hAnsi="Book Antiqua" w:cs="Tahoma"/>
        </w:rPr>
      </w:pPr>
      <w:r w:rsidRPr="00562A28">
        <w:rPr>
          <w:rFonts w:ascii="Book Antiqua" w:hAnsi="Book Antiqua" w:cs="Tahoma"/>
        </w:rPr>
        <w:t xml:space="preserve">In order to elaborate and operationalize the core </w:t>
      </w:r>
      <w:proofErr w:type="spellStart"/>
      <w:r w:rsidRPr="00562A28">
        <w:rPr>
          <w:rFonts w:ascii="Book Antiqua" w:hAnsi="Book Antiqua" w:cs="Tahoma"/>
        </w:rPr>
        <w:t>programmes</w:t>
      </w:r>
      <w:proofErr w:type="spellEnd"/>
      <w:r w:rsidRPr="00562A28">
        <w:rPr>
          <w:rFonts w:ascii="Book Antiqua" w:hAnsi="Book Antiqua" w:cs="Tahoma"/>
        </w:rPr>
        <w:t xml:space="preserve"> </w:t>
      </w:r>
      <w:r w:rsidRPr="00562A28">
        <w:rPr>
          <w:rFonts w:ascii="Book Antiqua" w:eastAsia="DengXian" w:hAnsi="Book Antiqua" w:cs="Tahoma"/>
          <w:lang w:eastAsia="zh-CN"/>
        </w:rPr>
        <w:t>provided</w:t>
      </w:r>
      <w:r w:rsidRPr="00562A28">
        <w:rPr>
          <w:rFonts w:ascii="Book Antiqua" w:hAnsi="Book Antiqua" w:cs="Tahoma"/>
        </w:rPr>
        <w:t xml:space="preserve"> by the TOR, a series of consultations and discussions was conducted including the </w:t>
      </w:r>
      <w:r w:rsidRPr="00562A28">
        <w:rPr>
          <w:rFonts w:ascii="Book Antiqua" w:eastAsia="DengXian" w:hAnsi="Book Antiqua" w:cs="Tahoma"/>
          <w:lang w:eastAsia="zh-CN"/>
        </w:rPr>
        <w:t>1</w:t>
      </w:r>
      <w:r>
        <w:rPr>
          <w:rFonts w:ascii="Book Antiqua" w:eastAsia="DengXian" w:hAnsi="Book Antiqua" w:cs="Tahoma"/>
          <w:vertAlign w:val="superscript"/>
          <w:lang w:eastAsia="zh-CN"/>
        </w:rPr>
        <w:t>st</w:t>
      </w:r>
      <w:r w:rsidRPr="00562A28">
        <w:rPr>
          <w:rFonts w:ascii="Book Antiqua" w:hAnsi="Book Antiqua" w:cs="Tahoma"/>
        </w:rPr>
        <w:t xml:space="preserve"> meeting of SPC and TC in July 2019,  the 23</w:t>
      </w:r>
      <w:r>
        <w:rPr>
          <w:rFonts w:ascii="Book Antiqua" w:hAnsi="Book Antiqua" w:cs="Tahoma"/>
          <w:vertAlign w:val="superscript"/>
        </w:rPr>
        <w:t xml:space="preserve">rd </w:t>
      </w:r>
      <w:r w:rsidRPr="00562A28">
        <w:rPr>
          <w:rFonts w:ascii="Book Antiqua" w:hAnsi="Book Antiqua" w:cs="Tahoma"/>
        </w:rPr>
        <w:t xml:space="preserve">Senior Officials Meeting (SOM-23) of NEASPEC in October 2019, and the </w:t>
      </w:r>
      <w:r w:rsidRPr="00562A28">
        <w:rPr>
          <w:rFonts w:ascii="Book Antiqua" w:eastAsia="DengXian" w:hAnsi="Book Antiqua" w:cs="Tahoma"/>
          <w:lang w:eastAsia="zh-CN"/>
        </w:rPr>
        <w:t>2</w:t>
      </w:r>
      <w:r>
        <w:rPr>
          <w:rFonts w:ascii="Book Antiqua" w:eastAsia="DengXian" w:hAnsi="Book Antiqua" w:cs="Tahoma"/>
          <w:vertAlign w:val="superscript"/>
          <w:lang w:eastAsia="zh-CN"/>
        </w:rPr>
        <w:t>nd</w:t>
      </w:r>
      <w:r w:rsidRPr="00562A28">
        <w:rPr>
          <w:rFonts w:ascii="Book Antiqua" w:hAnsi="Book Antiqua" w:cs="Tahoma"/>
        </w:rPr>
        <w:t xml:space="preserve"> meeting of SPC and TC in June 2020. In addition, a survey on </w:t>
      </w:r>
      <w:r w:rsidRPr="00562A28">
        <w:rPr>
          <w:rFonts w:ascii="Book Antiqua" w:eastAsia="DengXian" w:hAnsi="Book Antiqua" w:cs="Tahoma"/>
          <w:lang w:eastAsia="zh-CN"/>
        </w:rPr>
        <w:t xml:space="preserve">NEACAP priority </w:t>
      </w:r>
      <w:r w:rsidRPr="00562A28">
        <w:rPr>
          <w:rFonts w:ascii="Book Antiqua" w:hAnsi="Book Antiqua" w:cs="Tahoma"/>
        </w:rPr>
        <w:t xml:space="preserve">areas was conducted by the Secretariat in April 2020 to inform </w:t>
      </w:r>
      <w:r w:rsidRPr="00562A28">
        <w:rPr>
          <w:rFonts w:ascii="Book Antiqua" w:eastAsia="DengXian" w:hAnsi="Book Antiqua" w:cs="Tahoma"/>
          <w:lang w:eastAsia="zh-CN"/>
        </w:rPr>
        <w:t>the</w:t>
      </w:r>
      <w:r w:rsidRPr="00562A28">
        <w:rPr>
          <w:rFonts w:ascii="Book Antiqua" w:hAnsi="Book Antiqua" w:cs="Tahoma"/>
        </w:rPr>
        <w:t xml:space="preserve"> 2</w:t>
      </w:r>
      <w:r>
        <w:rPr>
          <w:rFonts w:ascii="Book Antiqua" w:hAnsi="Book Antiqua" w:cs="Tahoma"/>
          <w:vertAlign w:val="superscript"/>
        </w:rPr>
        <w:t>nd</w:t>
      </w:r>
      <w:r w:rsidRPr="00562A28">
        <w:rPr>
          <w:rFonts w:ascii="Book Antiqua" w:hAnsi="Book Antiqua" w:cs="Tahoma"/>
        </w:rPr>
        <w:t xml:space="preserve"> meeting of SPC and TC.</w:t>
      </w:r>
    </w:p>
    <w:p w14:paraId="599413BF" w14:textId="77777777" w:rsidR="005074DE" w:rsidRPr="00661181" w:rsidRDefault="005074DE" w:rsidP="005074DE">
      <w:pPr>
        <w:pStyle w:val="ListParagraph"/>
        <w:rPr>
          <w:rFonts w:ascii="Book Antiqua" w:hAnsi="Book Antiqua" w:cs="Tahoma"/>
        </w:rPr>
      </w:pPr>
    </w:p>
    <w:p w14:paraId="20C676B5" w14:textId="77777777" w:rsidR="005074DE" w:rsidRPr="006B4D7C" w:rsidRDefault="005074DE" w:rsidP="005074DE">
      <w:pPr>
        <w:pStyle w:val="ListParagraph"/>
        <w:numPr>
          <w:ilvl w:val="0"/>
          <w:numId w:val="6"/>
        </w:numPr>
        <w:jc w:val="both"/>
        <w:rPr>
          <w:rFonts w:ascii="Book Antiqua" w:eastAsia="Yu Mincho" w:hAnsi="Book Antiqua"/>
          <w:lang w:eastAsia="ja-JP"/>
        </w:rPr>
      </w:pPr>
      <w:r w:rsidRPr="006B4D7C">
        <w:rPr>
          <w:rFonts w:ascii="Book Antiqua" w:eastAsia="Yu Mincho" w:hAnsi="Book Antiqua" w:cs="Tahoma"/>
          <w:lang w:eastAsia="ja-JP"/>
        </w:rPr>
        <w:t>Members of the S</w:t>
      </w:r>
      <w:r w:rsidRPr="00661181">
        <w:rPr>
          <w:rFonts w:ascii="Book Antiqua" w:eastAsia="Yu Mincho" w:hAnsi="Book Antiqua" w:cs="Tahoma"/>
          <w:lang w:eastAsia="ja-JP"/>
        </w:rPr>
        <w:t>PC and representatives of TCs had intensive discussions at the 2</w:t>
      </w:r>
      <w:r w:rsidRPr="00661181">
        <w:rPr>
          <w:rFonts w:ascii="Book Antiqua" w:eastAsia="Yu Mincho" w:hAnsi="Book Antiqua" w:cs="Tahoma"/>
          <w:vertAlign w:val="superscript"/>
          <w:lang w:eastAsia="ja-JP"/>
        </w:rPr>
        <w:t>nd</w:t>
      </w:r>
      <w:r w:rsidRPr="00661181">
        <w:rPr>
          <w:rFonts w:ascii="Book Antiqua" w:eastAsia="Yu Mincho" w:hAnsi="Book Antiqua" w:cs="Tahoma"/>
          <w:lang w:eastAsia="ja-JP"/>
        </w:rPr>
        <w:t xml:space="preserve"> meeting</w:t>
      </w:r>
      <w:r w:rsidRPr="00661181">
        <w:rPr>
          <w:rFonts w:eastAsia="DengXian"/>
          <w:lang w:eastAsia="zh-CN"/>
        </w:rPr>
        <w:t xml:space="preserve"> </w:t>
      </w:r>
      <w:r w:rsidRPr="00661181">
        <w:rPr>
          <w:rFonts w:ascii="Book Antiqua" w:hAnsi="Book Antiqua" w:cs="Tahoma"/>
        </w:rPr>
        <w:t>of SPC and TC</w:t>
      </w:r>
      <w:r w:rsidRPr="006B4D7C">
        <w:rPr>
          <w:rFonts w:ascii="Book Antiqua" w:eastAsia="Yu Mincho" w:hAnsi="Book Antiqua"/>
          <w:lang w:eastAsia="ja-JP"/>
        </w:rPr>
        <w:t xml:space="preserve">, following the </w:t>
      </w:r>
      <w:r w:rsidRPr="006B4D7C">
        <w:rPr>
          <w:rFonts w:ascii="Book Antiqua" w:eastAsia="DengXian" w:hAnsi="Book Antiqua"/>
          <w:lang w:eastAsia="zh-CN"/>
        </w:rPr>
        <w:t>decision</w:t>
      </w:r>
      <w:r w:rsidRPr="006B4D7C">
        <w:rPr>
          <w:rFonts w:ascii="Book Antiqua" w:eastAsia="Yu Mincho" w:hAnsi="Book Antiqua"/>
          <w:lang w:eastAsia="ja-JP"/>
        </w:rPr>
        <w:t xml:space="preserve"> of the SOM-23 to identify the priority areas </w:t>
      </w:r>
      <w:r w:rsidRPr="006B4D7C">
        <w:rPr>
          <w:rFonts w:ascii="Book Antiqua" w:eastAsia="DengXian" w:hAnsi="Book Antiqua"/>
          <w:lang w:eastAsia="zh-CN"/>
        </w:rPr>
        <w:t xml:space="preserve">under </w:t>
      </w:r>
      <w:r w:rsidRPr="006B4D7C">
        <w:rPr>
          <w:rFonts w:ascii="Book Antiqua" w:eastAsia="Yu Mincho" w:hAnsi="Book Antiqua"/>
          <w:lang w:eastAsia="ja-JP"/>
        </w:rPr>
        <w:t xml:space="preserve">the core </w:t>
      </w:r>
      <w:proofErr w:type="spellStart"/>
      <w:r w:rsidRPr="006B4D7C">
        <w:rPr>
          <w:rFonts w:ascii="Book Antiqua" w:eastAsia="Yu Mincho" w:hAnsi="Book Antiqua"/>
          <w:lang w:eastAsia="ja-JP"/>
        </w:rPr>
        <w:t>programmes</w:t>
      </w:r>
      <w:proofErr w:type="spellEnd"/>
      <w:r w:rsidRPr="006B4D7C">
        <w:rPr>
          <w:rFonts w:ascii="Book Antiqua" w:eastAsia="Yu Mincho" w:hAnsi="Book Antiqua"/>
          <w:lang w:eastAsia="ja-JP"/>
        </w:rPr>
        <w:t xml:space="preserve"> as well as activities to be formulated</w:t>
      </w:r>
      <w:r w:rsidRPr="006B4D7C">
        <w:rPr>
          <w:rFonts w:ascii="Book Antiqua" w:eastAsia="DengXian" w:hAnsi="Book Antiqua"/>
          <w:lang w:eastAsia="zh-CN"/>
        </w:rPr>
        <w:t xml:space="preserve"> thereof</w:t>
      </w:r>
      <w:r w:rsidRPr="006B4D7C">
        <w:rPr>
          <w:rFonts w:ascii="Book Antiqua" w:eastAsia="Yu Mincho" w:hAnsi="Book Antiqua"/>
          <w:lang w:eastAsia="ja-JP"/>
        </w:rPr>
        <w:t xml:space="preserve">, based on their scientific knowledge and experiences </w:t>
      </w:r>
      <w:r w:rsidRPr="006B4D7C">
        <w:rPr>
          <w:rFonts w:ascii="Book Antiqua" w:eastAsia="DengXian" w:hAnsi="Book Antiqua"/>
          <w:lang w:eastAsia="zh-CN"/>
        </w:rPr>
        <w:t>working</w:t>
      </w:r>
      <w:r w:rsidRPr="006B4D7C">
        <w:rPr>
          <w:rFonts w:ascii="Book Antiqua" w:eastAsia="Yu Mincho" w:hAnsi="Book Antiqua"/>
          <w:lang w:eastAsia="ja-JP"/>
        </w:rPr>
        <w:t xml:space="preserve"> with respective governments</w:t>
      </w:r>
      <w:r w:rsidRPr="006B4D7C">
        <w:rPr>
          <w:rFonts w:eastAsia="Yu Mincho"/>
          <w:lang w:eastAsia="ja-JP"/>
        </w:rPr>
        <w:t xml:space="preserve">. </w:t>
      </w:r>
      <w:bookmarkStart w:id="1" w:name="_Hlk46507216"/>
      <w:r w:rsidRPr="004E1881">
        <w:rPr>
          <w:rFonts w:ascii="Book Antiqua" w:eastAsia="Yu Mincho" w:hAnsi="Book Antiqua"/>
          <w:lang w:eastAsia="ja-JP"/>
        </w:rPr>
        <w:t>Based on the discussion, the NEACAP Work Plan 2021-2025 herein was developed and agreed by the participants to guide NEACAP to formulate detailed activity</w:t>
      </w:r>
      <w:r w:rsidRPr="00661181">
        <w:rPr>
          <w:rFonts w:ascii="Book Antiqua" w:eastAsia="Yu Mincho" w:hAnsi="Book Antiqua"/>
          <w:lang w:eastAsia="ja-JP"/>
        </w:rPr>
        <w:t xml:space="preserve"> </w:t>
      </w:r>
      <w:r w:rsidRPr="006B4D7C">
        <w:rPr>
          <w:rFonts w:ascii="Book Antiqua" w:eastAsia="Yu Mincho" w:hAnsi="Book Antiqua"/>
          <w:lang w:eastAsia="ja-JP"/>
        </w:rPr>
        <w:t>plan with budget.</w:t>
      </w:r>
      <w:bookmarkEnd w:id="1"/>
    </w:p>
    <w:p w14:paraId="78C4BBF1" w14:textId="77777777" w:rsidR="005074DE" w:rsidRPr="00661181" w:rsidRDefault="005074DE" w:rsidP="005074DE">
      <w:pPr>
        <w:pStyle w:val="Heading2"/>
        <w:numPr>
          <w:ilvl w:val="0"/>
          <w:numId w:val="4"/>
        </w:numPr>
        <w:ind w:left="709" w:hanging="309"/>
        <w:rPr>
          <w:rFonts w:ascii="Book Antiqua" w:hAnsi="Book Antiqua" w:cs="Tahoma"/>
          <w:color w:val="002060"/>
          <w:sz w:val="24"/>
          <w:szCs w:val="24"/>
        </w:rPr>
      </w:pPr>
      <w:r w:rsidRPr="006B4D7C">
        <w:rPr>
          <w:rFonts w:ascii="Book Antiqua" w:hAnsi="Book Antiqua" w:cs="Tahoma"/>
          <w:color w:val="002060"/>
          <w:sz w:val="24"/>
          <w:szCs w:val="24"/>
        </w:rPr>
        <w:t xml:space="preserve">Approach to the implementation of the core </w:t>
      </w:r>
      <w:proofErr w:type="spellStart"/>
      <w:r w:rsidRPr="006B4D7C">
        <w:rPr>
          <w:rFonts w:ascii="Book Antiqua" w:hAnsi="Book Antiqua" w:cs="Tahoma"/>
          <w:color w:val="002060"/>
          <w:sz w:val="24"/>
          <w:szCs w:val="24"/>
        </w:rPr>
        <w:t>programmes</w:t>
      </w:r>
      <w:proofErr w:type="spellEnd"/>
      <w:r w:rsidRPr="006B4D7C">
        <w:rPr>
          <w:rFonts w:ascii="Book Antiqua" w:hAnsi="Book Antiqua" w:cs="Tahoma"/>
          <w:color w:val="002060"/>
          <w:sz w:val="24"/>
          <w:szCs w:val="24"/>
        </w:rPr>
        <w:t xml:space="preserve"> </w:t>
      </w:r>
    </w:p>
    <w:p w14:paraId="2E6B039D" w14:textId="77777777" w:rsidR="005074DE" w:rsidRPr="00661181" w:rsidRDefault="005074DE" w:rsidP="005074DE">
      <w:pPr>
        <w:pStyle w:val="ListParagraph"/>
        <w:numPr>
          <w:ilvl w:val="0"/>
          <w:numId w:val="6"/>
        </w:numPr>
        <w:jc w:val="both"/>
        <w:rPr>
          <w:rFonts w:ascii="Book Antiqua" w:hAnsi="Book Antiqua" w:cs="Tahoma"/>
        </w:rPr>
      </w:pPr>
      <w:r w:rsidRPr="006B4D7C">
        <w:rPr>
          <w:rFonts w:ascii="Book Antiqua" w:eastAsia="DengXian" w:hAnsi="Book Antiqua" w:cs="Tahoma"/>
          <w:lang w:eastAsia="zh-CN"/>
        </w:rPr>
        <w:t xml:space="preserve">According to the report of SOM-23, </w:t>
      </w:r>
      <w:r w:rsidRPr="006B4D7C">
        <w:rPr>
          <w:rFonts w:ascii="Book Antiqua" w:eastAsia="Yu Mincho" w:hAnsi="Book Antiqua" w:cs="Tahoma"/>
          <w:lang w:eastAsia="ja-JP"/>
        </w:rPr>
        <w:t xml:space="preserve">the </w:t>
      </w:r>
      <w:r w:rsidRPr="006B4D7C">
        <w:rPr>
          <w:rFonts w:ascii="Book Antiqua" w:eastAsia="DengXian" w:hAnsi="Book Antiqua" w:cs="Tahoma"/>
          <w:lang w:eastAsia="zh-CN"/>
        </w:rPr>
        <w:t>2</w:t>
      </w:r>
      <w:r>
        <w:rPr>
          <w:rFonts w:ascii="Book Antiqua" w:eastAsia="DengXian" w:hAnsi="Book Antiqua" w:cs="Tahoma"/>
          <w:vertAlign w:val="superscript"/>
          <w:lang w:eastAsia="zh-CN"/>
        </w:rPr>
        <w:t>nd</w:t>
      </w:r>
      <w:r w:rsidRPr="004E1881">
        <w:rPr>
          <w:rFonts w:ascii="Book Antiqua" w:hAnsi="Book Antiqua" w:cs="Tahoma"/>
        </w:rPr>
        <w:t xml:space="preserve"> Meeting of NEACAP SPC and TC in June 2020 considered the activities contained in the core </w:t>
      </w:r>
      <w:proofErr w:type="spellStart"/>
      <w:r w:rsidRPr="004E1881">
        <w:rPr>
          <w:rFonts w:ascii="Book Antiqua" w:hAnsi="Book Antiqua" w:cs="Tahoma"/>
        </w:rPr>
        <w:t>programmes</w:t>
      </w:r>
      <w:proofErr w:type="spellEnd"/>
      <w:r w:rsidRPr="004E1881">
        <w:rPr>
          <w:rFonts w:ascii="Book Antiqua" w:hAnsi="Book Antiqua" w:cs="Tahoma"/>
        </w:rPr>
        <w:t xml:space="preserve"> and suggested that their prioritization should consider the necessity and feasibility of the activities, </w:t>
      </w:r>
      <w:r w:rsidRPr="004E1881">
        <w:rPr>
          <w:rFonts w:ascii="Book Antiqua" w:hAnsi="Book Antiqua"/>
        </w:rPr>
        <w:t>collaboration with existing relevant regional/</w:t>
      </w:r>
      <w:proofErr w:type="spellStart"/>
      <w:r w:rsidRPr="004E1881">
        <w:rPr>
          <w:rFonts w:ascii="Book Antiqua" w:hAnsi="Book Antiqua"/>
        </w:rPr>
        <w:t>subregional</w:t>
      </w:r>
      <w:proofErr w:type="spellEnd"/>
      <w:r w:rsidRPr="004E1881">
        <w:rPr>
          <w:rFonts w:ascii="Book Antiqua" w:hAnsi="Book Antiqua"/>
        </w:rPr>
        <w:t xml:space="preserve"> framework, and the activities to reduce duplication. The meeting</w:t>
      </w:r>
      <w:r w:rsidRPr="00661181">
        <w:rPr>
          <w:rFonts w:ascii="Book Antiqua" w:hAnsi="Book Antiqua"/>
        </w:rPr>
        <w:t xml:space="preserve"> also suggested that </w:t>
      </w:r>
      <w:r w:rsidRPr="00661181">
        <w:rPr>
          <w:rFonts w:ascii="Book Antiqua" w:eastAsia="DengXian" w:hAnsi="Book Antiqua" w:hint="eastAsia"/>
          <w:lang w:eastAsia="zh-CN"/>
        </w:rPr>
        <w:t xml:space="preserve">the </w:t>
      </w:r>
      <w:r w:rsidRPr="00661181">
        <w:rPr>
          <w:rFonts w:ascii="Book Antiqua" w:eastAsia="DengXian" w:hAnsi="Book Antiqua"/>
          <w:lang w:eastAsia="zh-CN"/>
        </w:rPr>
        <w:t xml:space="preserve">potential </w:t>
      </w:r>
      <w:r w:rsidRPr="00661181">
        <w:rPr>
          <w:rFonts w:ascii="Book Antiqua" w:hAnsi="Book Antiqua"/>
        </w:rPr>
        <w:t xml:space="preserve">priority areas </w:t>
      </w:r>
      <w:r w:rsidRPr="00661181">
        <w:rPr>
          <w:rFonts w:ascii="Book Antiqua" w:eastAsia="DengXian" w:hAnsi="Book Antiqua" w:hint="eastAsia"/>
          <w:lang w:eastAsia="zh-CN"/>
        </w:rPr>
        <w:t xml:space="preserve">could be divided into </w:t>
      </w:r>
      <w:r w:rsidRPr="00661181">
        <w:rPr>
          <w:rFonts w:ascii="Book Antiqua" w:hAnsi="Book Antiqua"/>
        </w:rPr>
        <w:t>C</w:t>
      </w:r>
      <w:r w:rsidRPr="004E1881">
        <w:rPr>
          <w:rFonts w:ascii="Book Antiqua" w:hAnsi="Book Antiqua"/>
        </w:rPr>
        <w:t>ategories I and II</w:t>
      </w:r>
      <w:r w:rsidRPr="004E1881">
        <w:rPr>
          <w:rFonts w:ascii="Book Antiqua" w:eastAsia="DengXian" w:hAnsi="Book Antiqua"/>
          <w:lang w:eastAsia="zh-CN"/>
        </w:rPr>
        <w:t>.</w:t>
      </w:r>
      <w:r w:rsidRPr="004E1881">
        <w:rPr>
          <w:rFonts w:ascii="Book Antiqua" w:hAnsi="Book Antiqua"/>
        </w:rPr>
        <w:t xml:space="preserve">  </w:t>
      </w:r>
      <w:r w:rsidRPr="004E1881">
        <w:rPr>
          <w:rFonts w:ascii="Book Antiqua" w:eastAsia="DengXian" w:hAnsi="Book Antiqua"/>
          <w:lang w:eastAsia="zh-CN"/>
        </w:rPr>
        <w:t>C</w:t>
      </w:r>
      <w:r w:rsidRPr="004E1881">
        <w:rPr>
          <w:rFonts w:ascii="Book Antiqua" w:hAnsi="Book Antiqua"/>
        </w:rPr>
        <w:t>ategory</w:t>
      </w:r>
      <w:r w:rsidRPr="004E1881">
        <w:rPr>
          <w:rFonts w:ascii="Book Antiqua" w:eastAsia="DengXian" w:hAnsi="Book Antiqua"/>
          <w:lang w:eastAsia="zh-CN"/>
        </w:rPr>
        <w:t xml:space="preserve"> I</w:t>
      </w:r>
      <w:r w:rsidRPr="004E1881">
        <w:rPr>
          <w:rFonts w:ascii="Book Antiqua" w:hAnsi="Book Antiqua"/>
        </w:rPr>
        <w:t xml:space="preserve"> </w:t>
      </w:r>
      <w:r w:rsidRPr="004E1881">
        <w:rPr>
          <w:rFonts w:ascii="Book Antiqua" w:eastAsia="DengXian" w:hAnsi="Book Antiqua"/>
          <w:lang w:eastAsia="zh-CN"/>
        </w:rPr>
        <w:t>refers to</w:t>
      </w:r>
      <w:r w:rsidRPr="004E1881">
        <w:rPr>
          <w:rFonts w:ascii="Book Antiqua" w:hAnsi="Book Antiqua"/>
        </w:rPr>
        <w:t xml:space="preserve"> activities </w:t>
      </w:r>
      <w:r w:rsidRPr="004E1881">
        <w:rPr>
          <w:rFonts w:ascii="Book Antiqua" w:eastAsia="DengXian" w:hAnsi="Book Antiqua"/>
          <w:lang w:eastAsia="zh-CN"/>
        </w:rPr>
        <w:t>that</w:t>
      </w:r>
      <w:r w:rsidRPr="004E1881">
        <w:rPr>
          <w:rFonts w:ascii="Book Antiqua" w:hAnsi="Book Antiqua"/>
        </w:rPr>
        <w:t xml:space="preserve"> can be started without specific intensive preparatory work and provide immediate benefits for member </w:t>
      </w:r>
      <w:r w:rsidRPr="004E1881">
        <w:rPr>
          <w:rFonts w:ascii="Book Antiqua" w:eastAsia="DengXian" w:hAnsi="Book Antiqua"/>
          <w:lang w:eastAsia="zh-CN"/>
        </w:rPr>
        <w:t>States</w:t>
      </w:r>
      <w:r w:rsidRPr="004E1881">
        <w:rPr>
          <w:rFonts w:ascii="Book Antiqua" w:hAnsi="Book Antiqua"/>
        </w:rPr>
        <w:t xml:space="preserve">. </w:t>
      </w:r>
      <w:r>
        <w:rPr>
          <w:rFonts w:ascii="Book Antiqua" w:hAnsi="Book Antiqua"/>
        </w:rPr>
        <w:t>“</w:t>
      </w:r>
      <w:r w:rsidRPr="004E1881">
        <w:rPr>
          <w:rFonts w:ascii="Book Antiqua" w:hAnsi="Book Antiqua"/>
        </w:rPr>
        <w:t>Policy and technology cooperation</w:t>
      </w:r>
      <w:r>
        <w:rPr>
          <w:rFonts w:ascii="Book Antiqua" w:hAnsi="Book Antiqua"/>
        </w:rPr>
        <w:t>”</w:t>
      </w:r>
      <w:r w:rsidRPr="004E1881">
        <w:rPr>
          <w:rFonts w:ascii="Book Antiqua" w:hAnsi="Book Antiqua"/>
        </w:rPr>
        <w:t xml:space="preserve"> </w:t>
      </w:r>
      <w:proofErr w:type="gramStart"/>
      <w:r w:rsidRPr="004E1881">
        <w:rPr>
          <w:rFonts w:ascii="Book Antiqua" w:hAnsi="Book Antiqua"/>
        </w:rPr>
        <w:t>was</w:t>
      </w:r>
      <w:proofErr w:type="gramEnd"/>
      <w:r w:rsidRPr="004E1881">
        <w:rPr>
          <w:rFonts w:ascii="Book Antiqua" w:hAnsi="Book Antiqua"/>
        </w:rPr>
        <w:t xml:space="preserve"> identified and agreed </w:t>
      </w:r>
      <w:r w:rsidRPr="004E1881">
        <w:rPr>
          <w:rFonts w:ascii="Book Antiqua" w:eastAsia="DengXian" w:hAnsi="Book Antiqua"/>
          <w:lang w:eastAsia="zh-CN"/>
        </w:rPr>
        <w:t xml:space="preserve">as the priority area </w:t>
      </w:r>
      <w:r w:rsidRPr="004E1881">
        <w:rPr>
          <w:rFonts w:ascii="Book Antiqua" w:hAnsi="Book Antiqua"/>
        </w:rPr>
        <w:t xml:space="preserve">in this Category. </w:t>
      </w:r>
    </w:p>
    <w:p w14:paraId="5A7669A3" w14:textId="77777777" w:rsidR="005074DE" w:rsidRPr="00103307" w:rsidRDefault="005074DE" w:rsidP="005074DE">
      <w:pPr>
        <w:pStyle w:val="ListParagraph"/>
        <w:ind w:left="800"/>
        <w:jc w:val="both"/>
        <w:rPr>
          <w:rFonts w:ascii="Book Antiqua" w:hAnsi="Book Antiqua" w:cs="Tahoma"/>
        </w:rPr>
      </w:pPr>
    </w:p>
    <w:p w14:paraId="0BBF769F" w14:textId="77777777" w:rsidR="005074DE" w:rsidRPr="00CA5F27" w:rsidRDefault="005074DE" w:rsidP="005074DE">
      <w:pPr>
        <w:pStyle w:val="ListParagraph"/>
        <w:numPr>
          <w:ilvl w:val="0"/>
          <w:numId w:val="6"/>
        </w:numPr>
        <w:jc w:val="both"/>
        <w:rPr>
          <w:rFonts w:ascii="Book Antiqua" w:hAnsi="Book Antiqua" w:cs="Tahoma"/>
        </w:rPr>
      </w:pPr>
      <w:r w:rsidRPr="00661181">
        <w:rPr>
          <w:rFonts w:ascii="Book Antiqua" w:eastAsia="DengXian" w:hAnsi="Book Antiqua" w:hint="eastAsia"/>
          <w:lang w:eastAsia="zh-CN"/>
        </w:rPr>
        <w:t>C</w:t>
      </w:r>
      <w:r w:rsidRPr="00661181">
        <w:rPr>
          <w:rFonts w:ascii="Book Antiqua" w:hAnsi="Book Antiqua"/>
        </w:rPr>
        <w:t>ategory</w:t>
      </w:r>
      <w:r w:rsidRPr="00661181">
        <w:rPr>
          <w:rFonts w:ascii="Book Antiqua" w:eastAsia="DengXian" w:hAnsi="Book Antiqua" w:hint="eastAsia"/>
          <w:lang w:eastAsia="zh-CN"/>
        </w:rPr>
        <w:t xml:space="preserve"> II</w:t>
      </w:r>
      <w:r w:rsidRPr="00661181">
        <w:rPr>
          <w:rFonts w:ascii="Book Antiqua" w:hAnsi="Book Antiqua"/>
        </w:rPr>
        <w:t xml:space="preserve"> </w:t>
      </w:r>
      <w:r w:rsidRPr="00661181">
        <w:rPr>
          <w:rFonts w:ascii="Book Antiqua" w:eastAsia="DengXian" w:hAnsi="Book Antiqua" w:hint="eastAsia"/>
          <w:lang w:eastAsia="zh-CN"/>
        </w:rPr>
        <w:t>refers to</w:t>
      </w:r>
      <w:r w:rsidRPr="00661181">
        <w:rPr>
          <w:rFonts w:ascii="Book Antiqua" w:eastAsia="DengXian" w:hAnsi="Book Antiqua"/>
          <w:lang w:eastAsia="zh-CN"/>
        </w:rPr>
        <w:t xml:space="preserve"> </w:t>
      </w:r>
      <w:r w:rsidRPr="00661181">
        <w:rPr>
          <w:rFonts w:ascii="Book Antiqua" w:hAnsi="Book Antiqua"/>
        </w:rPr>
        <w:t xml:space="preserve">activities </w:t>
      </w:r>
      <w:r w:rsidRPr="00661181">
        <w:rPr>
          <w:rFonts w:ascii="Book Antiqua" w:eastAsia="DengXian" w:hAnsi="Book Antiqua" w:hint="eastAsia"/>
          <w:lang w:eastAsia="zh-CN"/>
        </w:rPr>
        <w:t xml:space="preserve">which </w:t>
      </w:r>
      <w:r w:rsidRPr="00661181">
        <w:rPr>
          <w:rFonts w:ascii="Book Antiqua" w:hAnsi="Book Antiqua"/>
        </w:rPr>
        <w:t xml:space="preserve">are duly important for building scientific approaches for policy making but </w:t>
      </w:r>
      <w:r w:rsidRPr="00103307">
        <w:rPr>
          <w:rFonts w:ascii="Book Antiqua" w:hAnsi="Book Antiqua"/>
        </w:rPr>
        <w:t xml:space="preserve">requiring scientific and collaborative preparation as well as development of capacity of experts to initiate the activities. </w:t>
      </w:r>
      <w:r w:rsidRPr="00103307">
        <w:rPr>
          <w:rFonts w:ascii="Book Antiqua" w:eastAsia="DengXian" w:hAnsi="Book Antiqua"/>
          <w:lang w:eastAsia="zh-CN"/>
        </w:rPr>
        <w:t>Methodolog</w:t>
      </w:r>
      <w:r>
        <w:rPr>
          <w:rFonts w:ascii="Book Antiqua" w:eastAsia="DengXian" w:hAnsi="Book Antiqua" w:hint="eastAsia"/>
          <w:lang w:eastAsia="zh-CN"/>
        </w:rPr>
        <w:t>ical</w:t>
      </w:r>
      <w:r w:rsidRPr="00103307">
        <w:rPr>
          <w:rFonts w:ascii="Book Antiqua" w:eastAsia="DengXian" w:hAnsi="Book Antiqua"/>
          <w:lang w:eastAsia="zh-CN"/>
        </w:rPr>
        <w:t xml:space="preserve"> </w:t>
      </w:r>
      <w:r w:rsidRPr="00074EFB">
        <w:rPr>
          <w:rFonts w:ascii="Book Antiqua" w:eastAsia="DengXian" w:hAnsi="Book Antiqua"/>
          <w:lang w:eastAsia="zh-CN"/>
        </w:rPr>
        <w:t>research</w:t>
      </w:r>
      <w:r w:rsidRPr="00661181">
        <w:rPr>
          <w:rFonts w:ascii="Book Antiqua" w:eastAsia="DengXian" w:hAnsi="Book Antiqua"/>
          <w:lang w:eastAsia="zh-CN"/>
        </w:rPr>
        <w:t xml:space="preserve"> </w:t>
      </w:r>
      <w:r w:rsidRPr="00661181">
        <w:rPr>
          <w:rFonts w:ascii="Book Antiqua" w:eastAsia="DengXian" w:hAnsi="Book Antiqua" w:hint="eastAsia"/>
          <w:lang w:eastAsia="zh-CN"/>
        </w:rPr>
        <w:t>on</w:t>
      </w:r>
      <w:r w:rsidRPr="00661181">
        <w:rPr>
          <w:rFonts w:ascii="Book Antiqua" w:hAnsi="Book Antiqua"/>
        </w:rPr>
        <w:t xml:space="preserve"> </w:t>
      </w:r>
      <w:r>
        <w:rPr>
          <w:rFonts w:ascii="Book Antiqua" w:hAnsi="Book Antiqua"/>
        </w:rPr>
        <w:t>(</w:t>
      </w:r>
      <w:proofErr w:type="spellStart"/>
      <w:r>
        <w:rPr>
          <w:rFonts w:ascii="Book Antiqua" w:hAnsi="Book Antiqua"/>
        </w:rPr>
        <w:t>i</w:t>
      </w:r>
      <w:proofErr w:type="spellEnd"/>
      <w:r>
        <w:rPr>
          <w:rFonts w:ascii="Book Antiqua" w:hAnsi="Book Antiqua"/>
        </w:rPr>
        <w:t xml:space="preserve">) </w:t>
      </w:r>
      <w:r w:rsidRPr="00661181">
        <w:rPr>
          <w:rFonts w:ascii="Book Antiqua" w:hAnsi="Book Antiqua"/>
        </w:rPr>
        <w:t>Emission Inventory</w:t>
      </w:r>
      <w:r>
        <w:rPr>
          <w:rFonts w:ascii="Book Antiqua" w:hAnsi="Book Antiqua"/>
        </w:rPr>
        <w:t>,</w:t>
      </w:r>
      <w:r w:rsidRPr="00661181">
        <w:rPr>
          <w:rFonts w:ascii="Book Antiqua" w:hAnsi="Book Antiqua"/>
        </w:rPr>
        <w:t xml:space="preserve"> and </w:t>
      </w:r>
      <w:r>
        <w:rPr>
          <w:rFonts w:ascii="Book Antiqua" w:hAnsi="Book Antiqua"/>
        </w:rPr>
        <w:t xml:space="preserve">(ii) </w:t>
      </w:r>
      <w:r w:rsidRPr="00661181">
        <w:rPr>
          <w:rFonts w:ascii="Book Antiqua" w:hAnsi="Book Antiqua"/>
        </w:rPr>
        <w:t xml:space="preserve">Policy Scenario and Integrated Assessment Modelling </w:t>
      </w:r>
      <w:r w:rsidRPr="00CA5F27">
        <w:rPr>
          <w:rFonts w:ascii="Book Antiqua" w:eastAsiaTheme="minorEastAsia" w:hAnsi="Book Antiqua"/>
          <w:lang w:eastAsia="zh-CN"/>
        </w:rPr>
        <w:t xml:space="preserve">in individual </w:t>
      </w:r>
      <w:r>
        <w:rPr>
          <w:rFonts w:ascii="Book Antiqua" w:eastAsiaTheme="minorEastAsia" w:hAnsi="Book Antiqua"/>
          <w:lang w:eastAsia="zh-CN"/>
        </w:rPr>
        <w:t>member States</w:t>
      </w:r>
      <w:r w:rsidRPr="00CA5F27">
        <w:rPr>
          <w:rFonts w:ascii="Book Antiqua" w:eastAsiaTheme="minorEastAsia" w:hAnsi="Book Antiqua"/>
          <w:lang w:eastAsia="zh-CN"/>
        </w:rPr>
        <w:t xml:space="preserve"> </w:t>
      </w:r>
      <w:proofErr w:type="gramStart"/>
      <w:r w:rsidRPr="00CA5F27">
        <w:rPr>
          <w:rFonts w:ascii="Book Antiqua" w:hAnsi="Book Antiqua"/>
        </w:rPr>
        <w:t>w</w:t>
      </w:r>
      <w:r>
        <w:rPr>
          <w:rFonts w:ascii="Book Antiqua" w:hAnsi="Book Antiqua"/>
        </w:rPr>
        <w:t>as</w:t>
      </w:r>
      <w:r w:rsidRPr="00CA5F27">
        <w:rPr>
          <w:rFonts w:ascii="Book Antiqua" w:hAnsi="Book Antiqua"/>
        </w:rPr>
        <w:t xml:space="preserve"> </w:t>
      </w:r>
      <w:r w:rsidRPr="00CA5F27">
        <w:rPr>
          <w:rFonts w:ascii="Book Antiqua" w:eastAsia="DengXian" w:hAnsi="Book Antiqua"/>
          <w:lang w:eastAsia="zh-CN"/>
        </w:rPr>
        <w:t xml:space="preserve">considered </w:t>
      </w:r>
      <w:r>
        <w:rPr>
          <w:rFonts w:ascii="Book Antiqua" w:eastAsia="DengXian" w:hAnsi="Book Antiqua"/>
          <w:lang w:eastAsia="zh-CN"/>
        </w:rPr>
        <w:t>to be</w:t>
      </w:r>
      <w:proofErr w:type="gramEnd"/>
      <w:r>
        <w:rPr>
          <w:rFonts w:ascii="Book Antiqua" w:eastAsia="DengXian" w:hAnsi="Book Antiqua"/>
          <w:lang w:eastAsia="zh-CN"/>
        </w:rPr>
        <w:t xml:space="preserve"> </w:t>
      </w:r>
      <w:r w:rsidRPr="00CA5F27">
        <w:rPr>
          <w:rFonts w:ascii="Book Antiqua" w:eastAsia="DengXian" w:hAnsi="Book Antiqua"/>
          <w:lang w:eastAsia="zh-CN"/>
        </w:rPr>
        <w:t>the</w:t>
      </w:r>
      <w:r w:rsidRPr="00CA5F27">
        <w:rPr>
          <w:rFonts w:ascii="Book Antiqua" w:hAnsi="Book Antiqua"/>
        </w:rPr>
        <w:t xml:space="preserve"> potential priority area in this Category</w:t>
      </w:r>
      <w:r w:rsidRPr="00CA5F27">
        <w:rPr>
          <w:rFonts w:ascii="Book Antiqua" w:eastAsia="DengXian" w:hAnsi="Book Antiqua"/>
          <w:lang w:eastAsia="zh-CN"/>
        </w:rPr>
        <w:t>, which need further discussions</w:t>
      </w:r>
      <w:bookmarkStart w:id="2" w:name="_Hlk46507314"/>
      <w:r w:rsidRPr="00CA5F27">
        <w:rPr>
          <w:rFonts w:ascii="Book Antiqua" w:hAnsi="Book Antiqua"/>
        </w:rPr>
        <w:t>.</w:t>
      </w:r>
      <w:r w:rsidRPr="00661181">
        <w:rPr>
          <w:rFonts w:ascii="Book Antiqua" w:hAnsi="Book Antiqua"/>
        </w:rPr>
        <w:t xml:space="preserve"> </w:t>
      </w:r>
      <w:bookmarkEnd w:id="2"/>
    </w:p>
    <w:p w14:paraId="4B367486" w14:textId="77777777" w:rsidR="005074DE" w:rsidRPr="00CA5F27" w:rsidRDefault="005074DE" w:rsidP="005074DE">
      <w:pPr>
        <w:pStyle w:val="ListParagraph"/>
        <w:ind w:left="800"/>
        <w:jc w:val="both"/>
      </w:pPr>
    </w:p>
    <w:p w14:paraId="03210C74" w14:textId="77777777" w:rsidR="005074DE" w:rsidRPr="00661181" w:rsidRDefault="005074DE" w:rsidP="005074DE">
      <w:pPr>
        <w:pStyle w:val="ListParagraph"/>
        <w:keepNext/>
        <w:numPr>
          <w:ilvl w:val="0"/>
          <w:numId w:val="6"/>
        </w:numPr>
        <w:jc w:val="both"/>
        <w:rPr>
          <w:b/>
          <w:bCs/>
        </w:rPr>
      </w:pPr>
      <w:r w:rsidRPr="005913CD">
        <w:rPr>
          <w:rFonts w:ascii="Book Antiqua" w:hAnsi="Book Antiqua"/>
        </w:rPr>
        <w:t xml:space="preserve">After discussion, the </w:t>
      </w:r>
      <w:r w:rsidRPr="005913CD">
        <w:rPr>
          <w:rFonts w:ascii="Book Antiqua" w:eastAsia="DengXian" w:hAnsi="Book Antiqua"/>
          <w:lang w:eastAsia="zh-CN"/>
        </w:rPr>
        <w:t>2</w:t>
      </w:r>
      <w:r w:rsidRPr="005913CD">
        <w:rPr>
          <w:rFonts w:ascii="Book Antiqua" w:eastAsia="DengXian" w:hAnsi="Book Antiqua"/>
          <w:vertAlign w:val="superscript"/>
          <w:lang w:eastAsia="zh-CN"/>
        </w:rPr>
        <w:t>nd</w:t>
      </w:r>
      <w:r w:rsidRPr="005913CD">
        <w:rPr>
          <w:rFonts w:ascii="Book Antiqua" w:eastAsia="DengXian" w:hAnsi="Book Antiqua"/>
          <w:lang w:eastAsia="zh-CN"/>
        </w:rPr>
        <w:t xml:space="preserve"> </w:t>
      </w:r>
      <w:r w:rsidRPr="005913CD">
        <w:rPr>
          <w:rFonts w:ascii="Book Antiqua" w:hAnsi="Book Antiqua"/>
        </w:rPr>
        <w:t>Meeting</w:t>
      </w:r>
      <w:r w:rsidRPr="005913CD">
        <w:rPr>
          <w:rFonts w:ascii="Book Antiqua" w:eastAsia="DengXian" w:hAnsi="Book Antiqua"/>
          <w:lang w:eastAsia="zh-CN"/>
        </w:rPr>
        <w:t xml:space="preserve"> of SPC and TC</w:t>
      </w:r>
      <w:r w:rsidRPr="005913CD">
        <w:rPr>
          <w:rFonts w:ascii="Book Antiqua" w:hAnsi="Book Antiqua"/>
        </w:rPr>
        <w:t xml:space="preserve"> concluded that </w:t>
      </w:r>
      <w:r w:rsidRPr="005913CD">
        <w:rPr>
          <w:rFonts w:ascii="Book Antiqua" w:eastAsia="DengXian" w:hAnsi="Book Antiqua"/>
          <w:lang w:eastAsia="zh-CN"/>
        </w:rPr>
        <w:t>“</w:t>
      </w:r>
      <w:r w:rsidRPr="005913CD">
        <w:rPr>
          <w:rFonts w:ascii="Book Antiqua" w:hAnsi="Book Antiqua"/>
        </w:rPr>
        <w:t>Policy and technology cooperation</w:t>
      </w:r>
      <w:r w:rsidRPr="005913CD">
        <w:rPr>
          <w:rFonts w:ascii="Book Antiqua" w:eastAsia="DengXian" w:hAnsi="Book Antiqua"/>
          <w:lang w:eastAsia="zh-CN"/>
        </w:rPr>
        <w:t>”</w:t>
      </w:r>
      <w:r w:rsidRPr="005913CD">
        <w:rPr>
          <w:rFonts w:ascii="Book Antiqua" w:hAnsi="Book Antiqua"/>
        </w:rPr>
        <w:t xml:space="preserve"> </w:t>
      </w:r>
      <w:r w:rsidRPr="005913CD">
        <w:rPr>
          <w:rFonts w:ascii="Book Antiqua" w:eastAsia="DengXian" w:hAnsi="Book Antiqua"/>
          <w:lang w:eastAsia="zh-CN"/>
        </w:rPr>
        <w:t>was</w:t>
      </w:r>
      <w:r w:rsidRPr="005913CD">
        <w:rPr>
          <w:rFonts w:ascii="Book Antiqua" w:hAnsi="Book Antiqua"/>
        </w:rPr>
        <w:t xml:space="preserve"> identified as </w:t>
      </w:r>
      <w:r w:rsidRPr="005913CD">
        <w:rPr>
          <w:rFonts w:ascii="Book Antiqua" w:eastAsia="DengXian" w:hAnsi="Book Antiqua"/>
          <w:lang w:eastAsia="zh-CN"/>
        </w:rPr>
        <w:t xml:space="preserve">the </w:t>
      </w:r>
      <w:r w:rsidRPr="005913CD">
        <w:rPr>
          <w:rFonts w:ascii="Book Antiqua" w:hAnsi="Book Antiqua"/>
        </w:rPr>
        <w:t>priority area</w:t>
      </w:r>
      <w:r w:rsidRPr="005913CD">
        <w:rPr>
          <w:rFonts w:ascii="Book Antiqua" w:eastAsia="DengXian" w:hAnsi="Book Antiqua"/>
          <w:lang w:eastAsia="zh-CN"/>
        </w:rPr>
        <w:t xml:space="preserve"> for the NEACAP Work Plan 2021-2025.</w:t>
      </w:r>
      <w:r>
        <w:rPr>
          <w:rFonts w:ascii="Book Antiqua" w:eastAsia="DengXian" w:hAnsi="Book Antiqua"/>
          <w:lang w:eastAsia="zh-CN"/>
        </w:rPr>
        <w:t xml:space="preserve"> </w:t>
      </w:r>
      <w:r w:rsidRPr="00661181">
        <w:rPr>
          <w:rFonts w:ascii="Book Antiqua" w:hAnsi="Book Antiqua"/>
        </w:rPr>
        <w:t xml:space="preserve">Thus, the NEACAP </w:t>
      </w:r>
      <w:r w:rsidRPr="00661181">
        <w:rPr>
          <w:rFonts w:ascii="Book Antiqua" w:eastAsia="DengXian" w:hAnsi="Book Antiqua"/>
          <w:lang w:eastAsia="zh-CN"/>
        </w:rPr>
        <w:t>W</w:t>
      </w:r>
      <w:r w:rsidRPr="00661181">
        <w:rPr>
          <w:rFonts w:ascii="Book Antiqua" w:hAnsi="Book Antiqua"/>
        </w:rPr>
        <w:t>ork</w:t>
      </w:r>
      <w:r w:rsidRPr="00661181">
        <w:rPr>
          <w:rFonts w:ascii="Book Antiqua" w:eastAsia="DengXian" w:hAnsi="Book Antiqua"/>
          <w:lang w:eastAsia="zh-CN"/>
        </w:rPr>
        <w:t xml:space="preserve"> P</w:t>
      </w:r>
      <w:r w:rsidRPr="00661181">
        <w:rPr>
          <w:rFonts w:ascii="Book Antiqua" w:hAnsi="Book Antiqua"/>
        </w:rPr>
        <w:t xml:space="preserve">lan 2021-2025 is suggested to focus on defining </w:t>
      </w:r>
      <w:r w:rsidRPr="00CA5F27">
        <w:rPr>
          <w:rFonts w:ascii="Book Antiqua" w:hAnsi="Book Antiqua"/>
        </w:rPr>
        <w:t xml:space="preserve">the goals and approaches together with an indicative list of activities on </w:t>
      </w:r>
      <w:r w:rsidRPr="00CA5F27">
        <w:rPr>
          <w:rFonts w:ascii="Book Antiqua" w:eastAsia="DengXian" w:hAnsi="Book Antiqua"/>
          <w:lang w:eastAsia="zh-CN"/>
        </w:rPr>
        <w:t>“</w:t>
      </w:r>
      <w:r w:rsidRPr="00CA5F27">
        <w:rPr>
          <w:rFonts w:ascii="Book Antiqua" w:hAnsi="Book Antiqua"/>
        </w:rPr>
        <w:t>Policy and technology cooperation</w:t>
      </w:r>
      <w:r w:rsidRPr="00CA5F27">
        <w:rPr>
          <w:rFonts w:ascii="Book Antiqua" w:eastAsia="DengXian" w:hAnsi="Book Antiqua"/>
          <w:lang w:eastAsia="zh-CN"/>
        </w:rPr>
        <w:t>” (see Table 1).</w:t>
      </w:r>
      <w:r w:rsidRPr="00CA5F27">
        <w:rPr>
          <w:rFonts w:ascii="Book Antiqua" w:hAnsi="Book Antiqua"/>
        </w:rPr>
        <w:t xml:space="preserve">  </w:t>
      </w:r>
      <w:proofErr w:type="gramStart"/>
      <w:r w:rsidRPr="00CA5F27">
        <w:rPr>
          <w:rFonts w:ascii="Book Antiqua" w:hAnsi="Book Antiqua"/>
        </w:rPr>
        <w:t>In the course of</w:t>
      </w:r>
      <w:proofErr w:type="gramEnd"/>
      <w:r w:rsidRPr="00CA5F27">
        <w:rPr>
          <w:rFonts w:ascii="Book Antiqua" w:hAnsi="Book Antiqua"/>
        </w:rPr>
        <w:t xml:space="preserve"> implementation, actual activities will be identified taking the indicative list of activities as references. </w:t>
      </w:r>
    </w:p>
    <w:p w14:paraId="25E77477" w14:textId="77777777" w:rsidR="005074DE" w:rsidRPr="00661181" w:rsidRDefault="005074DE" w:rsidP="005074DE">
      <w:pPr>
        <w:pStyle w:val="ListParagraph"/>
        <w:keepNext/>
        <w:ind w:left="800"/>
        <w:jc w:val="both"/>
        <w:rPr>
          <w:b/>
          <w:bCs/>
        </w:rPr>
      </w:pPr>
    </w:p>
    <w:p w14:paraId="3B6BC729" w14:textId="46EF0529" w:rsidR="005074DE" w:rsidRPr="00661181" w:rsidRDefault="005074DE" w:rsidP="005074DE">
      <w:pPr>
        <w:pStyle w:val="ListParagraph"/>
        <w:keepNext/>
        <w:spacing w:after="0"/>
        <w:ind w:left="800"/>
        <w:jc w:val="both"/>
        <w:rPr>
          <w:b/>
          <w:bCs/>
        </w:rPr>
      </w:pPr>
      <w:r w:rsidRPr="003F25EE">
        <w:rPr>
          <w:b/>
          <w:bCs/>
        </w:rPr>
        <w:t xml:space="preserve">Table </w:t>
      </w:r>
      <w:r w:rsidRPr="00661181">
        <w:rPr>
          <w:b/>
          <w:bCs/>
        </w:rPr>
        <w:fldChar w:fldCharType="begin"/>
      </w:r>
      <w:r w:rsidRPr="003F25EE">
        <w:rPr>
          <w:b/>
          <w:bCs/>
        </w:rPr>
        <w:instrText xml:space="preserve"> SEQ Table \* ARABIC </w:instrText>
      </w:r>
      <w:r w:rsidRPr="00661181">
        <w:rPr>
          <w:b/>
          <w:bCs/>
        </w:rPr>
        <w:fldChar w:fldCharType="separate"/>
      </w:r>
      <w:r w:rsidR="00B0550D">
        <w:rPr>
          <w:b/>
          <w:bCs/>
          <w:noProof/>
        </w:rPr>
        <w:t>1</w:t>
      </w:r>
      <w:r w:rsidRPr="00661181">
        <w:rPr>
          <w:b/>
          <w:bCs/>
        </w:rPr>
        <w:fldChar w:fldCharType="end"/>
      </w:r>
      <w:r w:rsidRPr="00661181">
        <w:rPr>
          <w:b/>
          <w:bCs/>
        </w:rPr>
        <w:t xml:space="preserve"> Priority area identified for NEACAP Work Plan 2021-2025</w:t>
      </w:r>
    </w:p>
    <w:tbl>
      <w:tblPr>
        <w:tblStyle w:val="11"/>
        <w:tblpPr w:leftFromText="180" w:rightFromText="180" w:vertAnchor="text" w:tblpX="724" w:tblpY="1"/>
        <w:tblOverlap w:val="never"/>
        <w:tblW w:w="4618" w:type="pct"/>
        <w:tblLook w:val="04A0" w:firstRow="1" w:lastRow="0" w:firstColumn="1" w:lastColumn="0" w:noHBand="0" w:noVBand="1"/>
      </w:tblPr>
      <w:tblGrid>
        <w:gridCol w:w="1502"/>
        <w:gridCol w:w="7666"/>
      </w:tblGrid>
      <w:tr w:rsidR="005074DE" w:rsidRPr="00661181" w14:paraId="727643AF" w14:textId="77777777" w:rsidTr="000514E2">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0C436C7" w14:textId="77777777" w:rsidR="005074DE" w:rsidRPr="00661181" w:rsidRDefault="005074DE" w:rsidP="000514E2">
            <w:pPr>
              <w:spacing w:line="240" w:lineRule="auto"/>
              <w:rPr>
                <w:rFonts w:ascii="Tahoma" w:hAnsi="Tahoma"/>
                <w:b w:val="0"/>
                <w:bCs w:val="0"/>
                <w:color w:val="002060"/>
              </w:rPr>
            </w:pPr>
            <w:r w:rsidRPr="00661181">
              <w:rPr>
                <w:rFonts w:ascii="Tahoma" w:hAnsi="Tahoma"/>
                <w:b w:val="0"/>
                <w:bCs w:val="0"/>
                <w:color w:val="002060"/>
              </w:rPr>
              <w:t xml:space="preserve">Policy and technology cooperation </w:t>
            </w:r>
          </w:p>
        </w:tc>
      </w:tr>
      <w:tr w:rsidR="005074DE" w:rsidRPr="00661181" w14:paraId="75F228DE" w14:textId="77777777" w:rsidTr="000514E2">
        <w:trPr>
          <w:trHeight w:val="542"/>
        </w:trPr>
        <w:tc>
          <w:tcPr>
            <w:cnfStyle w:val="001000000000" w:firstRow="0" w:lastRow="0" w:firstColumn="1" w:lastColumn="0" w:oddVBand="0" w:evenVBand="0" w:oddHBand="0" w:evenHBand="0" w:firstRowFirstColumn="0" w:firstRowLastColumn="0" w:lastRowFirstColumn="0" w:lastRowLastColumn="0"/>
            <w:tcW w:w="819" w:type="pct"/>
            <w:vAlign w:val="center"/>
          </w:tcPr>
          <w:p w14:paraId="3E0F9725" w14:textId="77777777" w:rsidR="005074DE" w:rsidRPr="003F25EE" w:rsidRDefault="005074DE" w:rsidP="000514E2">
            <w:pPr>
              <w:spacing w:line="240" w:lineRule="auto"/>
              <w:rPr>
                <w:b w:val="0"/>
                <w:bCs w:val="0"/>
              </w:rPr>
            </w:pPr>
            <w:r w:rsidRPr="003F25EE">
              <w:t>Goals and Approaches</w:t>
            </w:r>
          </w:p>
        </w:tc>
        <w:tc>
          <w:tcPr>
            <w:tcW w:w="4181" w:type="pct"/>
            <w:vAlign w:val="center"/>
          </w:tcPr>
          <w:p w14:paraId="772648F8" w14:textId="77777777" w:rsidR="005074DE" w:rsidRPr="003F25EE"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F25EE">
              <w:rPr>
                <w:rFonts w:ascii="Book Antiqua" w:hAnsi="Book Antiqua"/>
              </w:rPr>
              <w:t>Exchange information on emissions control technologies and national policies in use and/or under-development</w:t>
            </w:r>
            <w:r w:rsidRPr="003F25EE">
              <w:rPr>
                <w:rFonts w:ascii="Book Antiqua" w:eastAsia="DengXian" w:hAnsi="Book Antiqua"/>
                <w:lang w:eastAsia="zh-CN"/>
              </w:rPr>
              <w:t>, if available</w:t>
            </w:r>
          </w:p>
          <w:p w14:paraId="12CA4CD4" w14:textId="77777777" w:rsidR="005074DE" w:rsidRPr="003F25EE"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pPr>
            <w:r w:rsidRPr="003F25EE">
              <w:rPr>
                <w:rFonts w:ascii="Book Antiqua" w:hAnsi="Book Antiqua"/>
              </w:rPr>
              <w:t>Propose potential technical and policy measures to tackle air pollution through science-based, policy-oriented consultations, policy scenarios and information exchange</w:t>
            </w:r>
            <w:r w:rsidRPr="003F25EE">
              <w:t xml:space="preserve"> </w:t>
            </w:r>
            <w:r w:rsidRPr="003F25EE">
              <w:rPr>
                <w:rFonts w:ascii="Book Antiqua" w:hAnsi="Book Antiqua"/>
              </w:rPr>
              <w:t>among national scientists, experts, policy-and decision-makers of the member States</w:t>
            </w:r>
          </w:p>
        </w:tc>
      </w:tr>
      <w:tr w:rsidR="005074DE" w:rsidRPr="00661181" w14:paraId="173FA0FD" w14:textId="77777777" w:rsidTr="000514E2">
        <w:trPr>
          <w:trHeight w:val="542"/>
        </w:trPr>
        <w:tc>
          <w:tcPr>
            <w:cnfStyle w:val="001000000000" w:firstRow="0" w:lastRow="0" w:firstColumn="1" w:lastColumn="0" w:oddVBand="0" w:evenVBand="0" w:oddHBand="0" w:evenHBand="0" w:firstRowFirstColumn="0" w:firstRowLastColumn="0" w:lastRowFirstColumn="0" w:lastRowLastColumn="0"/>
            <w:tcW w:w="819" w:type="pct"/>
            <w:vAlign w:val="center"/>
          </w:tcPr>
          <w:p w14:paraId="6616D444" w14:textId="77777777" w:rsidR="005074DE" w:rsidRPr="00E80FB8" w:rsidRDefault="005074DE" w:rsidP="000514E2">
            <w:pPr>
              <w:keepNext/>
              <w:keepLines/>
              <w:spacing w:before="480" w:line="240" w:lineRule="auto"/>
              <w:outlineLvl w:val="0"/>
              <w:rPr>
                <w:b w:val="0"/>
                <w:bCs w:val="0"/>
              </w:rPr>
            </w:pPr>
            <w:r w:rsidRPr="003F25EE">
              <w:t>Indicative Activities</w:t>
            </w:r>
          </w:p>
        </w:tc>
        <w:tc>
          <w:tcPr>
            <w:tcW w:w="4181" w:type="pct"/>
            <w:vAlign w:val="center"/>
          </w:tcPr>
          <w:p w14:paraId="14DA2C37" w14:textId="77777777" w:rsidR="005074DE" w:rsidRPr="003F25EE"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F25EE">
              <w:rPr>
                <w:rFonts w:ascii="Book Antiqua" w:hAnsi="Book Antiqua"/>
              </w:rPr>
              <w:t>Propose potential technical and policy measures through sharing information and lessons learnt on relevant good environmental practices applied nationally</w:t>
            </w:r>
          </w:p>
          <w:p w14:paraId="10DF08F5" w14:textId="77777777" w:rsidR="005074DE" w:rsidRPr="003F25EE"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F25EE">
              <w:rPr>
                <w:rFonts w:ascii="Book Antiqua" w:hAnsi="Book Antiqua"/>
              </w:rPr>
              <w:t xml:space="preserve">Organize policy dialogue for exchanging information and policy experience in </w:t>
            </w:r>
            <w:r w:rsidRPr="00661181">
              <w:rPr>
                <w:rFonts w:ascii="Book Antiqua" w:hAnsi="Book Antiqua"/>
              </w:rPr>
              <w:t xml:space="preserve">collaboration with the relevant processes, such as the Tripartite Policy Dialogue on Air Pollution (TPDAP) </w:t>
            </w:r>
          </w:p>
          <w:p w14:paraId="576763B6" w14:textId="77777777" w:rsidR="005074DE" w:rsidRPr="00E80FB8"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80FB8">
              <w:rPr>
                <w:rFonts w:ascii="Book Antiqua" w:hAnsi="Book Antiqua"/>
              </w:rPr>
              <w:t>Conduct policy analysis on air pollution management in support of policy dialogue and technology cooperation</w:t>
            </w:r>
          </w:p>
          <w:p w14:paraId="34692C9D" w14:textId="77777777" w:rsidR="005074DE" w:rsidRPr="00E80FB8"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80FB8">
              <w:rPr>
                <w:rFonts w:ascii="Book Antiqua" w:hAnsi="Book Antiqua"/>
              </w:rPr>
              <w:t xml:space="preserve">Support voluntary collaboration among member </w:t>
            </w:r>
            <w:r w:rsidRPr="00E80FB8">
              <w:rPr>
                <w:rFonts w:ascii="Book Antiqua" w:eastAsia="DengXian" w:hAnsi="Book Antiqua"/>
                <w:lang w:eastAsia="zh-CN"/>
              </w:rPr>
              <w:t>States</w:t>
            </w:r>
            <w:r w:rsidRPr="00E80FB8">
              <w:rPr>
                <w:rFonts w:ascii="Book Antiqua" w:hAnsi="Book Antiqua"/>
              </w:rPr>
              <w:t xml:space="preserve"> on the Best Available Techniques </w:t>
            </w:r>
          </w:p>
          <w:p w14:paraId="41E1414D" w14:textId="77777777" w:rsidR="005074DE" w:rsidRPr="00E80FB8" w:rsidRDefault="005074DE" w:rsidP="000514E2">
            <w:pPr>
              <w:pStyle w:val="ListParagraph"/>
              <w:keepNext/>
              <w:keepLines/>
              <w:numPr>
                <w:ilvl w:val="0"/>
                <w:numId w:val="3"/>
              </w:numPr>
              <w:spacing w:before="480" w:after="0" w:line="240" w:lineRule="auto"/>
              <w:ind w:left="174" w:hanging="174"/>
              <w:outlineLvl w:val="0"/>
              <w:cnfStyle w:val="000000000000" w:firstRow="0" w:lastRow="0" w:firstColumn="0" w:lastColumn="0" w:oddVBand="0" w:evenVBand="0" w:oddHBand="0" w:evenHBand="0" w:firstRowFirstColumn="0" w:firstRowLastColumn="0" w:lastRowFirstColumn="0" w:lastRowLastColumn="0"/>
            </w:pPr>
            <w:r w:rsidRPr="00E80FB8">
              <w:rPr>
                <w:rFonts w:ascii="Book Antiqua" w:hAnsi="Book Antiqua"/>
              </w:rPr>
              <w:t xml:space="preserve">Support technology forum on emerging technologies and deployment in priority areas such as transport, </w:t>
            </w:r>
            <w:proofErr w:type="gramStart"/>
            <w:r w:rsidRPr="00E80FB8">
              <w:rPr>
                <w:rFonts w:ascii="Book Antiqua" w:hAnsi="Book Antiqua"/>
              </w:rPr>
              <w:t>industry</w:t>
            </w:r>
            <w:proofErr w:type="gramEnd"/>
            <w:r w:rsidRPr="00E80FB8">
              <w:rPr>
                <w:rFonts w:ascii="Book Antiqua" w:hAnsi="Book Antiqua"/>
              </w:rPr>
              <w:t xml:space="preserve"> and residential sectors</w:t>
            </w:r>
          </w:p>
          <w:p w14:paraId="7992FEA3" w14:textId="77777777" w:rsidR="005074DE" w:rsidRPr="00661181" w:rsidRDefault="005074DE" w:rsidP="000514E2">
            <w:pPr>
              <w:pStyle w:val="ListParagraph"/>
              <w:spacing w:after="0" w:line="240" w:lineRule="auto"/>
              <w:ind w:left="174"/>
              <w:cnfStyle w:val="000000000000" w:firstRow="0" w:lastRow="0" w:firstColumn="0" w:lastColumn="0" w:oddVBand="0" w:evenVBand="0" w:oddHBand="0" w:evenHBand="0" w:firstRowFirstColumn="0" w:firstRowLastColumn="0" w:lastRowFirstColumn="0" w:lastRowLastColumn="0"/>
            </w:pPr>
          </w:p>
        </w:tc>
      </w:tr>
    </w:tbl>
    <w:p w14:paraId="7F0FC16E" w14:textId="77777777" w:rsidR="005074DE" w:rsidRPr="00661181" w:rsidRDefault="005074DE" w:rsidP="005074DE">
      <w:pPr>
        <w:jc w:val="both"/>
      </w:pPr>
    </w:p>
    <w:p w14:paraId="1A7C89A8" w14:textId="77777777" w:rsidR="005074DE" w:rsidRPr="004C68BD" w:rsidRDefault="005074DE" w:rsidP="005074DE">
      <w:pPr>
        <w:pStyle w:val="ListParagraph"/>
        <w:ind w:left="800"/>
        <w:jc w:val="both"/>
      </w:pPr>
    </w:p>
    <w:p w14:paraId="36B9ACB3" w14:textId="77777777" w:rsidR="005074DE" w:rsidRPr="00661181" w:rsidRDefault="005074DE" w:rsidP="005074DE">
      <w:pPr>
        <w:pStyle w:val="ListParagraph"/>
        <w:numPr>
          <w:ilvl w:val="0"/>
          <w:numId w:val="6"/>
        </w:numPr>
        <w:jc w:val="both"/>
      </w:pPr>
      <w:r w:rsidRPr="00E80FB8">
        <w:rPr>
          <w:rFonts w:ascii="Book Antiqua" w:hAnsi="Book Antiqua" w:cs="Tahoma"/>
        </w:rPr>
        <w:t xml:space="preserve">Policy and technology cooperation are to facilitate NEACAP member </w:t>
      </w:r>
      <w:r w:rsidRPr="00E80FB8">
        <w:rPr>
          <w:rFonts w:ascii="Book Antiqua" w:eastAsia="DengXian" w:hAnsi="Book Antiqua" w:cs="Tahoma"/>
          <w:lang w:eastAsia="zh-CN"/>
        </w:rPr>
        <w:t>States</w:t>
      </w:r>
      <w:r w:rsidRPr="00E80FB8">
        <w:rPr>
          <w:rFonts w:ascii="Book Antiqua" w:hAnsi="Book Antiqua" w:cs="Tahoma"/>
        </w:rPr>
        <w:t xml:space="preserve"> to share information on policies, technologies and best practices and undertake technological cooperation. The work on policy and technology cooperation will be undertaken in close consultation with </w:t>
      </w:r>
      <w:r w:rsidRPr="00E80FB8">
        <w:rPr>
          <w:rFonts w:ascii="Book Antiqua" w:eastAsia="DengXian" w:hAnsi="Book Antiqua" w:cs="Tahoma"/>
          <w:lang w:eastAsia="zh-CN"/>
        </w:rPr>
        <w:t>member States</w:t>
      </w:r>
      <w:r w:rsidRPr="00E80FB8">
        <w:rPr>
          <w:rFonts w:ascii="Book Antiqua" w:hAnsi="Book Antiqua" w:cs="Tahoma"/>
        </w:rPr>
        <w:t xml:space="preserve"> on the topic and modality of policy analysis and dialogue in collaboration with existing mechanisms and platforms</w:t>
      </w:r>
      <w:r w:rsidRPr="00E80FB8">
        <w:rPr>
          <w:rFonts w:ascii="Book Antiqua" w:eastAsia="DengXian" w:hAnsi="Book Antiqua" w:cs="Tahoma"/>
          <w:lang w:eastAsia="zh-CN"/>
        </w:rPr>
        <w:t>.</w:t>
      </w:r>
      <w:r w:rsidRPr="00E80FB8">
        <w:rPr>
          <w:rFonts w:ascii="Book Antiqua" w:hAnsi="Book Antiqua" w:cs="Tahoma"/>
        </w:rPr>
        <w:t xml:space="preserve"> </w:t>
      </w:r>
      <w:r w:rsidRPr="00E80FB8">
        <w:t xml:space="preserve"> </w:t>
      </w:r>
    </w:p>
    <w:p w14:paraId="0C23317D" w14:textId="77777777" w:rsidR="005074DE" w:rsidRPr="00661181" w:rsidRDefault="005074DE" w:rsidP="005074DE">
      <w:pPr>
        <w:pStyle w:val="ListParagraph"/>
        <w:ind w:left="800"/>
      </w:pPr>
      <w:r w:rsidRPr="00E80FB8">
        <w:rPr>
          <w:rFonts w:ascii="Book Antiqua" w:hAnsi="Book Antiqua" w:cs="Tahoma"/>
        </w:rPr>
        <w:t xml:space="preserve"> </w:t>
      </w:r>
    </w:p>
    <w:p w14:paraId="3D2E2F73" w14:textId="77777777" w:rsidR="005074DE" w:rsidRPr="00661181" w:rsidRDefault="005074DE" w:rsidP="005074DE">
      <w:pPr>
        <w:pStyle w:val="ListParagraph"/>
        <w:numPr>
          <w:ilvl w:val="0"/>
          <w:numId w:val="6"/>
        </w:numPr>
        <w:jc w:val="both"/>
        <w:rPr>
          <w:rFonts w:ascii="Book Antiqua" w:hAnsi="Book Antiqua" w:cs="Tahoma"/>
        </w:rPr>
      </w:pPr>
      <w:r w:rsidRPr="00E80FB8">
        <w:rPr>
          <w:rFonts w:ascii="Book Antiqua" w:hAnsi="Book Antiqua" w:cs="Tahoma"/>
        </w:rPr>
        <w:t>Technical Centers</w:t>
      </w:r>
      <w:r w:rsidRPr="00E80FB8">
        <w:rPr>
          <w:rFonts w:ascii="Book Antiqua" w:eastAsia="DengXian" w:hAnsi="Book Antiqua" w:cs="Tahoma"/>
          <w:lang w:eastAsia="zh-CN"/>
        </w:rPr>
        <w:t xml:space="preserve">, as designated research institutions in member States, </w:t>
      </w:r>
      <w:r w:rsidRPr="00E80FB8">
        <w:rPr>
          <w:rFonts w:ascii="Book Antiqua" w:hAnsi="Book Antiqua" w:cs="Tahoma"/>
        </w:rPr>
        <w:t xml:space="preserve">are expected to support the </w:t>
      </w:r>
      <w:r w:rsidRPr="00E80FB8">
        <w:rPr>
          <w:rFonts w:ascii="Book Antiqua" w:eastAsia="DengXian" w:hAnsi="Book Antiqua" w:cs="Tahoma"/>
          <w:lang w:eastAsia="zh-CN"/>
        </w:rPr>
        <w:t>technical work</w:t>
      </w:r>
      <w:r w:rsidRPr="00E80FB8">
        <w:rPr>
          <w:rFonts w:ascii="Book Antiqua" w:hAnsi="Book Antiqua" w:cs="Tahoma"/>
        </w:rPr>
        <w:t xml:space="preserve"> of NEACAP</w:t>
      </w:r>
      <w:r w:rsidRPr="00E80FB8">
        <w:rPr>
          <w:rFonts w:ascii="Book Antiqua" w:eastAsia="DengXian" w:hAnsi="Book Antiqua" w:cs="Tahoma"/>
          <w:lang w:eastAsia="zh-CN"/>
        </w:rPr>
        <w:t>.</w:t>
      </w:r>
      <w:r w:rsidRPr="00E80FB8">
        <w:rPr>
          <w:rFonts w:ascii="Book Antiqua" w:hAnsi="Book Antiqua" w:cs="Tahoma"/>
        </w:rPr>
        <w:t xml:space="preserve"> The detailed roles of each Technical Center will be further discussed and defined</w:t>
      </w:r>
      <w:r w:rsidRPr="00E80FB8">
        <w:rPr>
          <w:rFonts w:ascii="Book Antiqua" w:eastAsia="DengXian" w:hAnsi="Book Antiqua" w:cs="Tahoma"/>
          <w:lang w:eastAsia="zh-CN"/>
        </w:rPr>
        <w:t>, as agreed upon by the member States, based on</w:t>
      </w:r>
      <w:r w:rsidRPr="00E80FB8">
        <w:rPr>
          <w:rFonts w:ascii="Book Antiqua" w:hAnsi="Book Antiqua" w:cs="Tahoma"/>
        </w:rPr>
        <w:t xml:space="preserve"> consultation with the centers reflecting their intended areas of contributions as well as expertise and capacity.  </w:t>
      </w:r>
    </w:p>
    <w:p w14:paraId="2FDF1A9B" w14:textId="77777777" w:rsidR="005074DE" w:rsidRPr="00661181" w:rsidRDefault="005074DE" w:rsidP="005074DE">
      <w:pPr>
        <w:pStyle w:val="ListParagraph"/>
        <w:ind w:left="800"/>
        <w:jc w:val="both"/>
        <w:rPr>
          <w:rFonts w:ascii="Book Antiqua" w:hAnsi="Book Antiqua" w:cs="Tahoma"/>
        </w:rPr>
      </w:pPr>
    </w:p>
    <w:p w14:paraId="1D0C7F42" w14:textId="77777777" w:rsidR="005074DE" w:rsidRPr="00661181" w:rsidRDefault="005074DE" w:rsidP="005074DE">
      <w:pPr>
        <w:pStyle w:val="ListParagraph"/>
        <w:numPr>
          <w:ilvl w:val="0"/>
          <w:numId w:val="6"/>
        </w:numPr>
        <w:jc w:val="both"/>
        <w:rPr>
          <w:rFonts w:ascii="Book Antiqua" w:hAnsi="Book Antiqua" w:cs="Tahoma"/>
        </w:rPr>
      </w:pPr>
      <w:r w:rsidRPr="00E80FB8">
        <w:rPr>
          <w:rFonts w:ascii="Book Antiqua" w:hAnsi="Book Antiqua" w:cs="Tahoma"/>
        </w:rPr>
        <w:t xml:space="preserve">The budget plan for the planned activities will be prepared by the </w:t>
      </w:r>
      <w:r w:rsidRPr="00E80FB8">
        <w:rPr>
          <w:rFonts w:ascii="Book Antiqua" w:eastAsia="DengXian" w:hAnsi="Book Antiqua" w:cs="Tahoma"/>
          <w:lang w:eastAsia="zh-CN"/>
        </w:rPr>
        <w:t>S</w:t>
      </w:r>
      <w:r w:rsidRPr="00E80FB8">
        <w:rPr>
          <w:rFonts w:ascii="Book Antiqua" w:hAnsi="Book Antiqua" w:cs="Tahoma"/>
        </w:rPr>
        <w:t>ecretariat in accordance with the NEASPEC’s practices</w:t>
      </w:r>
      <w:r>
        <w:rPr>
          <w:rFonts w:ascii="Book Antiqua" w:hAnsi="Book Antiqua" w:cs="Tahoma"/>
        </w:rPr>
        <w:t>,</w:t>
      </w:r>
      <w:r w:rsidRPr="00E80FB8">
        <w:rPr>
          <w:rFonts w:ascii="Book Antiqua" w:hAnsi="Book Antiqua" w:cs="Tahoma"/>
        </w:rPr>
        <w:t xml:space="preserve"> and the budget execution will be duly reported to the SPC meeting and SOM.   </w:t>
      </w:r>
    </w:p>
    <w:p w14:paraId="037ABD61" w14:textId="77777777" w:rsidR="005074DE" w:rsidRPr="00661181" w:rsidRDefault="005074DE" w:rsidP="005074DE">
      <w:pPr>
        <w:pStyle w:val="ListParagraph"/>
        <w:rPr>
          <w:rFonts w:ascii="Book Antiqua" w:hAnsi="Book Antiqua" w:cs="Tahoma"/>
        </w:rPr>
      </w:pPr>
    </w:p>
    <w:p w14:paraId="16BFE0C6" w14:textId="77777777" w:rsidR="005074DE" w:rsidRPr="004C68BD" w:rsidRDefault="005074DE" w:rsidP="005074DE">
      <w:pPr>
        <w:pStyle w:val="ListParagraph"/>
        <w:numPr>
          <w:ilvl w:val="0"/>
          <w:numId w:val="6"/>
        </w:numPr>
        <w:jc w:val="both"/>
      </w:pPr>
      <w:r w:rsidRPr="00E80FB8">
        <w:rPr>
          <w:rFonts w:ascii="Book Antiqua" w:hAnsi="Book Antiqua" w:cs="Tahoma"/>
        </w:rPr>
        <w:t xml:space="preserve">The implementation and monitoring of activities will be coordinated by the SPC and overseen by SOM in accordance with the NEACAP Terms of Reference and SPC Rules of Procedure. In addition to the regular review of the work, the SPC will have a mid-term review in 2022 of the </w:t>
      </w:r>
      <w:r w:rsidRPr="00E80FB8">
        <w:rPr>
          <w:rFonts w:ascii="Book Antiqua" w:eastAsia="DengXian" w:hAnsi="Book Antiqua" w:cs="Tahoma"/>
          <w:lang w:eastAsia="zh-CN"/>
        </w:rPr>
        <w:t>W</w:t>
      </w:r>
      <w:r w:rsidRPr="00E80FB8">
        <w:rPr>
          <w:rFonts w:ascii="Book Antiqua" w:hAnsi="Book Antiqua" w:cs="Tahoma"/>
        </w:rPr>
        <w:t>ork</w:t>
      </w:r>
      <w:r w:rsidRPr="00E80FB8">
        <w:rPr>
          <w:rFonts w:ascii="Book Antiqua" w:eastAsia="DengXian" w:hAnsi="Book Antiqua" w:cs="Tahoma"/>
          <w:lang w:eastAsia="zh-CN"/>
        </w:rPr>
        <w:t xml:space="preserve"> P</w:t>
      </w:r>
      <w:r w:rsidRPr="00E80FB8">
        <w:rPr>
          <w:rFonts w:ascii="Book Antiqua" w:hAnsi="Book Antiqua" w:cs="Tahoma"/>
        </w:rPr>
        <w:t>lan</w:t>
      </w:r>
      <w:r w:rsidRPr="00E80FB8">
        <w:rPr>
          <w:rFonts w:ascii="Book Antiqua" w:eastAsia="DengXian" w:hAnsi="Book Antiqua" w:cs="Tahoma"/>
          <w:lang w:eastAsia="zh-CN"/>
        </w:rPr>
        <w:t>’s</w:t>
      </w:r>
      <w:r w:rsidRPr="00E80FB8">
        <w:rPr>
          <w:rFonts w:ascii="Book Antiqua" w:hAnsi="Book Antiqua" w:cs="Tahoma"/>
        </w:rPr>
        <w:t xml:space="preserve"> implementation with a view of making </w:t>
      </w:r>
      <w:r w:rsidRPr="00E80FB8">
        <w:rPr>
          <w:rFonts w:ascii="Book Antiqua" w:eastAsia="DengXian" w:hAnsi="Book Antiqua" w:cs="Tahoma"/>
          <w:lang w:eastAsia="zh-CN"/>
        </w:rPr>
        <w:t>necessary</w:t>
      </w:r>
      <w:r w:rsidRPr="00E80FB8">
        <w:rPr>
          <w:rFonts w:ascii="Book Antiqua" w:hAnsi="Book Antiqua" w:cs="Tahoma"/>
        </w:rPr>
        <w:t xml:space="preserve"> adjustments. </w:t>
      </w:r>
    </w:p>
    <w:p w14:paraId="5A1EB7B0" w14:textId="77777777" w:rsidR="005074DE" w:rsidRDefault="005074DE" w:rsidP="005074DE">
      <w:pPr>
        <w:pStyle w:val="ListParagraph"/>
      </w:pPr>
    </w:p>
    <w:p w14:paraId="6779B7C6" w14:textId="77777777" w:rsidR="005074DE" w:rsidRPr="00661181" w:rsidRDefault="005074DE" w:rsidP="005074DE">
      <w:pPr>
        <w:pStyle w:val="ListParagraph"/>
        <w:ind w:left="800"/>
        <w:jc w:val="center"/>
      </w:pPr>
      <w:r>
        <w:t>……</w:t>
      </w:r>
    </w:p>
    <w:p w14:paraId="5FD771F2" w14:textId="77777777" w:rsidR="00920EC0" w:rsidRDefault="00920EC0" w:rsidP="006825A2">
      <w:pPr>
        <w:adjustRightInd w:val="0"/>
        <w:snapToGrid w:val="0"/>
        <w:spacing w:before="120" w:line="276" w:lineRule="auto"/>
        <w:jc w:val="center"/>
        <w:rPr>
          <w:rFonts w:eastAsia="DengXian"/>
          <w:b/>
          <w:bCs/>
          <w:lang w:eastAsia="zh-CN"/>
        </w:rPr>
      </w:pPr>
    </w:p>
    <w:sectPr w:rsidR="00920EC0" w:rsidSect="000232F8">
      <w:footerReference w:type="even" r:id="rId13"/>
      <w:footerReference w:type="default" r:id="rId14"/>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8B05" w14:textId="77777777" w:rsidR="008E4DC8" w:rsidRDefault="008E4DC8" w:rsidP="00A65D4F">
      <w:pPr>
        <w:spacing w:after="0" w:line="240" w:lineRule="auto"/>
      </w:pPr>
      <w:r>
        <w:separator/>
      </w:r>
    </w:p>
  </w:endnote>
  <w:endnote w:type="continuationSeparator" w:id="0">
    <w:p w14:paraId="2E8DDBE5" w14:textId="77777777" w:rsidR="008E4DC8" w:rsidRDefault="008E4DC8" w:rsidP="00A65D4F">
      <w:pPr>
        <w:spacing w:after="0" w:line="240" w:lineRule="auto"/>
      </w:pPr>
      <w:r>
        <w:continuationSeparator/>
      </w:r>
    </w:p>
  </w:endnote>
  <w:endnote w:type="continuationNotice" w:id="1">
    <w:p w14:paraId="25865A67" w14:textId="77777777" w:rsidR="008E4DC8" w:rsidRDefault="008E4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ookAntiqua-Bold">
    <w:altName w:val="바탕"/>
    <w:charset w:val="81"/>
    <w:family w:val="auto"/>
    <w:pitch w:val="default"/>
    <w:sig w:usb0="00000000" w:usb1="09060000" w:usb2="00000010" w:usb3="00000000" w:csb0="00080000" w:csb1="00000000"/>
  </w:font>
  <w:font w:name="MalgunUnicode MS">
    <w:altName w:val="맑은 고딕"/>
    <w:charset w:val="81"/>
    <w:family w:val="modern"/>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DB19" w14:textId="77777777" w:rsidR="00A65D4F" w:rsidRDefault="007B14B2" w:rsidP="00942FF4">
    <w:pPr>
      <w:pStyle w:val="Footer"/>
      <w:framePr w:wrap="around" w:vAnchor="text" w:hAnchor="margin" w:xAlign="center" w:y="1"/>
      <w:rPr>
        <w:rStyle w:val="PageNumber"/>
      </w:rPr>
    </w:pPr>
    <w:r>
      <w:rPr>
        <w:rStyle w:val="PageNumber"/>
      </w:rPr>
      <w:fldChar w:fldCharType="begin"/>
    </w:r>
    <w:r w:rsidR="00A65D4F">
      <w:rPr>
        <w:rStyle w:val="PageNumber"/>
      </w:rPr>
      <w:instrText xml:space="preserve">PAGE  </w:instrText>
    </w:r>
    <w:r>
      <w:rPr>
        <w:rStyle w:val="PageNumber"/>
      </w:rPr>
      <w:fldChar w:fldCharType="end"/>
    </w:r>
  </w:p>
  <w:p w14:paraId="21A7552E" w14:textId="77777777" w:rsidR="00A65D4F" w:rsidRDefault="00A65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D701" w14:textId="77777777" w:rsidR="00A65D4F" w:rsidRDefault="007B14B2" w:rsidP="00942FF4">
    <w:pPr>
      <w:pStyle w:val="Footer"/>
      <w:framePr w:wrap="around" w:vAnchor="text" w:hAnchor="margin" w:xAlign="center" w:y="1"/>
      <w:rPr>
        <w:rStyle w:val="PageNumber"/>
      </w:rPr>
    </w:pPr>
    <w:r>
      <w:rPr>
        <w:rStyle w:val="PageNumber"/>
      </w:rPr>
      <w:fldChar w:fldCharType="begin"/>
    </w:r>
    <w:r w:rsidR="00A65D4F">
      <w:rPr>
        <w:rStyle w:val="PageNumber"/>
      </w:rPr>
      <w:instrText xml:space="preserve">PAGE  </w:instrText>
    </w:r>
    <w:r>
      <w:rPr>
        <w:rStyle w:val="PageNumber"/>
      </w:rPr>
      <w:fldChar w:fldCharType="separate"/>
    </w:r>
    <w:r w:rsidR="000F4653">
      <w:rPr>
        <w:rStyle w:val="PageNumber"/>
        <w:noProof/>
      </w:rPr>
      <w:t>1</w:t>
    </w:r>
    <w:r>
      <w:rPr>
        <w:rStyle w:val="PageNumber"/>
      </w:rPr>
      <w:fldChar w:fldCharType="end"/>
    </w:r>
  </w:p>
  <w:p w14:paraId="43790792" w14:textId="77777777" w:rsidR="00A65D4F" w:rsidRDefault="00A65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1AB1" w14:textId="77777777" w:rsidR="008E4DC8" w:rsidRDefault="008E4DC8" w:rsidP="00A65D4F">
      <w:pPr>
        <w:spacing w:after="0" w:line="240" w:lineRule="auto"/>
      </w:pPr>
      <w:r>
        <w:separator/>
      </w:r>
    </w:p>
  </w:footnote>
  <w:footnote w:type="continuationSeparator" w:id="0">
    <w:p w14:paraId="73A13931" w14:textId="77777777" w:rsidR="008E4DC8" w:rsidRDefault="008E4DC8" w:rsidP="00A65D4F">
      <w:pPr>
        <w:spacing w:after="0" w:line="240" w:lineRule="auto"/>
      </w:pPr>
      <w:r>
        <w:continuationSeparator/>
      </w:r>
    </w:p>
  </w:footnote>
  <w:footnote w:type="continuationNotice" w:id="1">
    <w:p w14:paraId="4A183FFB" w14:textId="77777777" w:rsidR="008E4DC8" w:rsidRDefault="008E4DC8">
      <w:pPr>
        <w:spacing w:after="0" w:line="240" w:lineRule="auto"/>
      </w:pPr>
    </w:p>
  </w:footnote>
  <w:footnote w:id="2">
    <w:p w14:paraId="438C02CB" w14:textId="77777777" w:rsidR="005074DE" w:rsidRPr="00422CBC" w:rsidRDefault="005074DE" w:rsidP="005074DE">
      <w:pPr>
        <w:pStyle w:val="FootnoteText"/>
        <w:spacing w:after="0" w:line="240" w:lineRule="auto"/>
      </w:pPr>
      <w:r>
        <w:rPr>
          <w:rStyle w:val="FootnoteReference"/>
        </w:rPr>
        <w:footnoteRef/>
      </w:r>
      <w:r>
        <w:t xml:space="preserve"> Terms of Reference of the North-East Asia Clean Air Partnership (NEACAP)</w:t>
      </w:r>
    </w:p>
    <w:p w14:paraId="6D53F3BE" w14:textId="77777777" w:rsidR="005074DE" w:rsidRPr="00422CBC" w:rsidRDefault="00B0550D" w:rsidP="005074DE">
      <w:pPr>
        <w:pStyle w:val="FootnoteText"/>
        <w:spacing w:after="0" w:line="240" w:lineRule="exact"/>
      </w:pPr>
      <w:hyperlink r:id="rId1" w:history="1">
        <w:r w:rsidR="005074DE" w:rsidRPr="00422CBC">
          <w:rPr>
            <w:rStyle w:val="Hyperlink"/>
          </w:rPr>
          <w:t>http://www.neaspec.org/sites/default/files//NEACAP%20TOR_adopted%20in%20the%20SOM-22.pdf</w:t>
        </w:r>
      </w:hyperlink>
    </w:p>
    <w:p w14:paraId="48BAC399" w14:textId="77777777" w:rsidR="005074DE" w:rsidRPr="00E156FC" w:rsidRDefault="005074DE" w:rsidP="005074DE">
      <w:pPr>
        <w:pStyle w:val="FootnoteText"/>
        <w:spacing w:after="0" w:line="240" w:lineRule="exact"/>
      </w:pPr>
    </w:p>
  </w:footnote>
  <w:footnote w:id="3">
    <w:p w14:paraId="3FEE9CEC" w14:textId="77777777" w:rsidR="005074DE" w:rsidRPr="00EC42AE" w:rsidRDefault="005074DE" w:rsidP="005074DE">
      <w:pPr>
        <w:pStyle w:val="FootnoteText"/>
        <w:spacing w:after="0" w:line="240" w:lineRule="exact"/>
      </w:pPr>
      <w:r>
        <w:rPr>
          <w:rStyle w:val="FootnoteReference"/>
        </w:rPr>
        <w:footnoteRef/>
      </w:r>
      <w:r>
        <w:t xml:space="preserve"> Target pollutants of NEACAP include, but not limited to, pollutants of national and </w:t>
      </w:r>
      <w:proofErr w:type="spellStart"/>
      <w:r>
        <w:t>subregional</w:t>
      </w:r>
      <w:proofErr w:type="spellEnd"/>
      <w:r>
        <w:t xml:space="preserve"> concern, namely Particulate Matter (PM2.5 and PM10), Ozone, and other relevant pollutants, including Sulfur Oxides (</w:t>
      </w:r>
      <w:proofErr w:type="spellStart"/>
      <w:r>
        <w:t>SO</w:t>
      </w:r>
      <w:r>
        <w:rPr>
          <w:vertAlign w:val="subscript"/>
        </w:rPr>
        <w:t>x</w:t>
      </w:r>
      <w:proofErr w:type="spellEnd"/>
      <w:r>
        <w:t>), Nitrogen Oxides (NO</w:t>
      </w:r>
      <w:r>
        <w:rPr>
          <w:vertAlign w:val="subscript"/>
        </w:rPr>
        <w:t>x</w:t>
      </w:r>
      <w:r>
        <w:t>), Black Carbon, Ammonia (NH</w:t>
      </w:r>
      <w:r>
        <w:rPr>
          <w:vertAlign w:val="subscript"/>
        </w:rPr>
        <w:t>3</w:t>
      </w:r>
      <w:r>
        <w:t xml:space="preserve">) and Volatile Organic Compounds (VOCs).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01BE2BB6"/>
    <w:lvl w:ilvl="0" w:tplc="BA26D990">
      <w:start w:val="1"/>
      <w:numFmt w:val="decimal"/>
      <w:pStyle w:val="SOMstyple"/>
      <w:lvlText w:val="%1."/>
      <w:lvlJc w:val="left"/>
      <w:pPr>
        <w:ind w:left="360" w:hanging="360"/>
      </w:pPr>
      <w:rPr>
        <w:rFonts w:hint="default"/>
        <w:i w:val="0"/>
        <w:iCs w:val="0"/>
        <w:color w:val="auto"/>
      </w:rPr>
    </w:lvl>
    <w:lvl w:ilvl="1" w:tplc="616CEBF0">
      <w:start w:val="1"/>
      <w:numFmt w:val="upperLetter"/>
      <w:lvlText w:val="%2."/>
      <w:lvlJc w:val="left"/>
      <w:pPr>
        <w:ind w:left="1200" w:hanging="400"/>
      </w:pPr>
      <w:rPr>
        <w:b/>
        <w:bC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2939D8"/>
    <w:multiLevelType w:val="hybridMultilevel"/>
    <w:tmpl w:val="9ABE120A"/>
    <w:lvl w:ilvl="0" w:tplc="9046555E">
      <w:start w:val="1"/>
      <w:numFmt w:val="decimal"/>
      <w:lvlText w:val="%1."/>
      <w:lvlJc w:val="left"/>
      <w:pPr>
        <w:tabs>
          <w:tab w:val="num" w:pos="760"/>
        </w:tabs>
        <w:ind w:left="760" w:hanging="360"/>
      </w:pPr>
      <w:rPr>
        <w:rFonts w:ascii="Book Antiqua" w:hAnsi="Book Antiqua"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815E04"/>
    <w:multiLevelType w:val="hybridMultilevel"/>
    <w:tmpl w:val="29224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C169DC"/>
    <w:multiLevelType w:val="hybridMultilevel"/>
    <w:tmpl w:val="11E601CC"/>
    <w:lvl w:ilvl="0" w:tplc="DCD0D878">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202B411C"/>
    <w:multiLevelType w:val="hybridMultilevel"/>
    <w:tmpl w:val="902E9D3C"/>
    <w:lvl w:ilvl="0" w:tplc="A16E877A">
      <w:start w:val="1"/>
      <w:numFmt w:val="decimal"/>
      <w:lvlText w:val="%1."/>
      <w:lvlJc w:val="left"/>
      <w:pPr>
        <w:ind w:left="800" w:hanging="400"/>
      </w:pPr>
      <w:rPr>
        <w:rFonts w:hint="default"/>
        <w:b w:val="0"/>
        <w:bCs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07C661E"/>
    <w:multiLevelType w:val="hybridMultilevel"/>
    <w:tmpl w:val="B8B0AC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7F35B44"/>
    <w:multiLevelType w:val="hybridMultilevel"/>
    <w:tmpl w:val="D722B470"/>
    <w:lvl w:ilvl="0" w:tplc="CFE061D0">
      <w:start w:val="1"/>
      <w:numFmt w:val="lowerLetter"/>
      <w:lvlText w:val="(%1)"/>
      <w:lvlJc w:val="left"/>
      <w:pPr>
        <w:ind w:left="1520" w:hanging="360"/>
      </w:pPr>
      <w:rPr>
        <w:rFonts w:eastAsia="DengXian"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7" w15:restartNumberingAfterBreak="0">
    <w:nsid w:val="29A55247"/>
    <w:multiLevelType w:val="hybridMultilevel"/>
    <w:tmpl w:val="C642544E"/>
    <w:lvl w:ilvl="0" w:tplc="5D7CE6EE">
      <w:start w:val="9"/>
      <w:numFmt w:val="bullet"/>
      <w:lvlText w:val="-"/>
      <w:lvlJc w:val="left"/>
      <w:pPr>
        <w:ind w:left="720" w:hanging="360"/>
      </w:pPr>
      <w:rPr>
        <w:rFonts w:ascii="Book Antiqua" w:eastAsia="맑은 고딕"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15D0C"/>
    <w:multiLevelType w:val="hybridMultilevel"/>
    <w:tmpl w:val="DD303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E25328"/>
    <w:multiLevelType w:val="hybridMultilevel"/>
    <w:tmpl w:val="F350F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A4B1266"/>
    <w:multiLevelType w:val="hybridMultilevel"/>
    <w:tmpl w:val="101C6938"/>
    <w:lvl w:ilvl="0" w:tplc="61A675F0">
      <w:start w:val="1"/>
      <w:numFmt w:val="bullet"/>
      <w:lvlText w:val="-"/>
      <w:lvlJc w:val="left"/>
      <w:pPr>
        <w:ind w:left="720" w:hanging="360"/>
      </w:pPr>
      <w:rPr>
        <w:rFonts w:ascii="Book Antiqua" w:eastAsia="바탕" w:hAnsi="Book Antiqua"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54306"/>
    <w:multiLevelType w:val="hybridMultilevel"/>
    <w:tmpl w:val="56C06D68"/>
    <w:lvl w:ilvl="0" w:tplc="C10A11C4">
      <w:start w:val="1"/>
      <w:numFmt w:val="upperLetter"/>
      <w:lvlText w:val="%1."/>
      <w:lvlJc w:val="left"/>
      <w:pPr>
        <w:ind w:left="360" w:hanging="360"/>
      </w:pPr>
      <w:rPr>
        <w:rFonts w:ascii="Book Antiqua" w:eastAsia="바탕" w:hAnsi="Book Antiqua" w:cs="Angsan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B556A4"/>
    <w:multiLevelType w:val="hybridMultilevel"/>
    <w:tmpl w:val="4AEE0F7A"/>
    <w:lvl w:ilvl="0" w:tplc="092C21F6">
      <w:start w:val="1"/>
      <w:numFmt w:val="upperRoman"/>
      <w:lvlText w:val="%1."/>
      <w:lvlJc w:val="left"/>
      <w:pPr>
        <w:ind w:left="1840" w:hanging="720"/>
      </w:pPr>
      <w:rPr>
        <w:rFonts w:eastAsia="BookAntiqua-Bold" w:cs="BookAntiqua-Bold" w:hint="default"/>
        <w:b/>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15:restartNumberingAfterBreak="0">
    <w:nsid w:val="5E8A2D43"/>
    <w:multiLevelType w:val="hybridMultilevel"/>
    <w:tmpl w:val="902E9D3C"/>
    <w:lvl w:ilvl="0" w:tplc="A16E877A">
      <w:start w:val="1"/>
      <w:numFmt w:val="decimal"/>
      <w:lvlText w:val="%1."/>
      <w:lvlJc w:val="left"/>
      <w:pPr>
        <w:ind w:left="800" w:hanging="400"/>
      </w:pPr>
      <w:rPr>
        <w:rFonts w:hint="default"/>
        <w:b w:val="0"/>
        <w:bCs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F76089A"/>
    <w:multiLevelType w:val="hybridMultilevel"/>
    <w:tmpl w:val="3A12316A"/>
    <w:lvl w:ilvl="0" w:tplc="126CF8C2">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610375CD"/>
    <w:multiLevelType w:val="hybridMultilevel"/>
    <w:tmpl w:val="21E47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F71CF"/>
    <w:multiLevelType w:val="hybridMultilevel"/>
    <w:tmpl w:val="E9D8AD56"/>
    <w:lvl w:ilvl="0" w:tplc="04090001">
      <w:start w:val="1"/>
      <w:numFmt w:val="bullet"/>
      <w:lvlText w:val=""/>
      <w:lvlJc w:val="left"/>
      <w:pPr>
        <w:ind w:left="360" w:hanging="360"/>
      </w:pPr>
      <w:rPr>
        <w:rFonts w:ascii="Symbol" w:hAnsi="Symbol" w:hint="default"/>
        <w:i w:val="0"/>
        <w:iCs w:val="0"/>
        <w:color w:val="auto"/>
      </w:rPr>
    </w:lvl>
    <w:lvl w:ilvl="1" w:tplc="616CEBF0">
      <w:start w:val="1"/>
      <w:numFmt w:val="upperLetter"/>
      <w:lvlText w:val="%2."/>
      <w:lvlJc w:val="left"/>
      <w:pPr>
        <w:ind w:left="1200" w:hanging="400"/>
      </w:pPr>
      <w:rPr>
        <w:b/>
        <w:bC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83E5585"/>
    <w:multiLevelType w:val="hybridMultilevel"/>
    <w:tmpl w:val="D722B470"/>
    <w:lvl w:ilvl="0" w:tplc="CFE061D0">
      <w:start w:val="1"/>
      <w:numFmt w:val="lowerLetter"/>
      <w:lvlText w:val="(%1)"/>
      <w:lvlJc w:val="left"/>
      <w:pPr>
        <w:ind w:left="1520" w:hanging="360"/>
      </w:pPr>
      <w:rPr>
        <w:rFonts w:eastAsia="DengXian"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BFC78EF"/>
    <w:multiLevelType w:val="hybridMultilevel"/>
    <w:tmpl w:val="A158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43085"/>
    <w:multiLevelType w:val="hybridMultilevel"/>
    <w:tmpl w:val="D722B470"/>
    <w:lvl w:ilvl="0" w:tplc="CFE061D0">
      <w:start w:val="1"/>
      <w:numFmt w:val="lowerLetter"/>
      <w:lvlText w:val="(%1)"/>
      <w:lvlJc w:val="left"/>
      <w:pPr>
        <w:ind w:left="1520" w:hanging="360"/>
      </w:pPr>
      <w:rPr>
        <w:rFonts w:eastAsia="DengXian"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CD4F12"/>
    <w:multiLevelType w:val="hybridMultilevel"/>
    <w:tmpl w:val="5E36C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804942"/>
    <w:multiLevelType w:val="hybridMultilevel"/>
    <w:tmpl w:val="3A12316A"/>
    <w:lvl w:ilvl="0" w:tplc="126CF8C2">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15:restartNumberingAfterBreak="0">
    <w:nsid w:val="73D16CB9"/>
    <w:multiLevelType w:val="multilevel"/>
    <w:tmpl w:val="8110A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5A27E3"/>
    <w:multiLevelType w:val="hybridMultilevel"/>
    <w:tmpl w:val="BF7A56FA"/>
    <w:lvl w:ilvl="0" w:tplc="04090001">
      <w:start w:val="1"/>
      <w:numFmt w:val="bullet"/>
      <w:lvlText w:val=""/>
      <w:lvlJc w:val="left"/>
      <w:pPr>
        <w:ind w:left="800" w:hanging="400"/>
      </w:pPr>
      <w:rPr>
        <w:rFonts w:ascii="Symbol" w:hAnsi="Symbol" w:hint="default"/>
        <w:b/>
        <w:bCs/>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84372DB"/>
    <w:multiLevelType w:val="hybridMultilevel"/>
    <w:tmpl w:val="05ACD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23"/>
  </w:num>
  <w:num w:numId="3">
    <w:abstractNumId w:val="15"/>
  </w:num>
  <w:num w:numId="4">
    <w:abstractNumId w:val="3"/>
  </w:num>
  <w:num w:numId="5">
    <w:abstractNumId w:val="18"/>
  </w:num>
  <w:num w:numId="6">
    <w:abstractNumId w:val="4"/>
  </w:num>
  <w:num w:numId="7">
    <w:abstractNumId w:val="0"/>
  </w:num>
  <w:num w:numId="8">
    <w:abstractNumId w:val="12"/>
  </w:num>
  <w:num w:numId="9">
    <w:abstractNumId w:val="11"/>
  </w:num>
  <w:num w:numId="10">
    <w:abstractNumId w:val="1"/>
  </w:num>
  <w:num w:numId="11">
    <w:abstractNumId w:val="21"/>
  </w:num>
  <w:num w:numId="12">
    <w:abstractNumId w:val="14"/>
  </w:num>
  <w:num w:numId="13">
    <w:abstractNumId w:val="10"/>
  </w:num>
  <w:num w:numId="14">
    <w:abstractNumId w:val="0"/>
  </w:num>
  <w:num w:numId="15">
    <w:abstractNumId w:val="0"/>
    <w:lvlOverride w:ilvl="0">
      <w:startOverride w:val="1"/>
    </w:lvlOverride>
  </w:num>
  <w:num w:numId="16">
    <w:abstractNumId w:val="7"/>
  </w:num>
  <w:num w:numId="17">
    <w:abstractNumId w:val="2"/>
  </w:num>
  <w:num w:numId="18">
    <w:abstractNumId w:val="8"/>
  </w:num>
  <w:num w:numId="19">
    <w:abstractNumId w:val="20"/>
  </w:num>
  <w:num w:numId="20">
    <w:abstractNumId w:val="24"/>
  </w:num>
  <w:num w:numId="21">
    <w:abstractNumId w:val="9"/>
  </w:num>
  <w:num w:numId="22">
    <w:abstractNumId w:val="22"/>
  </w:num>
  <w:num w:numId="23">
    <w:abstractNumId w:val="5"/>
  </w:num>
  <w:num w:numId="24">
    <w:abstractNumId w:val="16"/>
  </w:num>
  <w:num w:numId="25">
    <w:abstractNumId w:val="19"/>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4F"/>
    <w:rsid w:val="00001983"/>
    <w:rsid w:val="000232F8"/>
    <w:rsid w:val="00026F1D"/>
    <w:rsid w:val="00027BA8"/>
    <w:rsid w:val="00055C6C"/>
    <w:rsid w:val="00061D17"/>
    <w:rsid w:val="00065E76"/>
    <w:rsid w:val="000904EA"/>
    <w:rsid w:val="000954C5"/>
    <w:rsid w:val="00095C5B"/>
    <w:rsid w:val="00096675"/>
    <w:rsid w:val="0009667F"/>
    <w:rsid w:val="0009686D"/>
    <w:rsid w:val="000A0B42"/>
    <w:rsid w:val="000A36BB"/>
    <w:rsid w:val="000B3AF5"/>
    <w:rsid w:val="000B6274"/>
    <w:rsid w:val="000C3D4F"/>
    <w:rsid w:val="000C44C4"/>
    <w:rsid w:val="000E1611"/>
    <w:rsid w:val="000E2085"/>
    <w:rsid w:val="000E21A4"/>
    <w:rsid w:val="000E2DB2"/>
    <w:rsid w:val="000E3977"/>
    <w:rsid w:val="000E4A9F"/>
    <w:rsid w:val="000F14C9"/>
    <w:rsid w:val="000F4653"/>
    <w:rsid w:val="000F4797"/>
    <w:rsid w:val="00105374"/>
    <w:rsid w:val="001107F5"/>
    <w:rsid w:val="00112529"/>
    <w:rsid w:val="00124D28"/>
    <w:rsid w:val="00126FDF"/>
    <w:rsid w:val="00151239"/>
    <w:rsid w:val="00162BD9"/>
    <w:rsid w:val="00172CE4"/>
    <w:rsid w:val="00181E63"/>
    <w:rsid w:val="00185C23"/>
    <w:rsid w:val="00186DD0"/>
    <w:rsid w:val="001933AF"/>
    <w:rsid w:val="00194BA3"/>
    <w:rsid w:val="001A6934"/>
    <w:rsid w:val="001A6F5C"/>
    <w:rsid w:val="001B4966"/>
    <w:rsid w:val="001C3373"/>
    <w:rsid w:val="001D3EC8"/>
    <w:rsid w:val="001D4430"/>
    <w:rsid w:val="001E1DE3"/>
    <w:rsid w:val="001E763A"/>
    <w:rsid w:val="001F260C"/>
    <w:rsid w:val="001F3572"/>
    <w:rsid w:val="0020515B"/>
    <w:rsid w:val="00206FC4"/>
    <w:rsid w:val="002236D4"/>
    <w:rsid w:val="0022590C"/>
    <w:rsid w:val="00226B28"/>
    <w:rsid w:val="002305BE"/>
    <w:rsid w:val="0024309F"/>
    <w:rsid w:val="0025469B"/>
    <w:rsid w:val="00260347"/>
    <w:rsid w:val="002656E9"/>
    <w:rsid w:val="00267739"/>
    <w:rsid w:val="00272C5C"/>
    <w:rsid w:val="00280FAD"/>
    <w:rsid w:val="002843E1"/>
    <w:rsid w:val="002935AA"/>
    <w:rsid w:val="00296019"/>
    <w:rsid w:val="00297E1C"/>
    <w:rsid w:val="002A409A"/>
    <w:rsid w:val="002A724E"/>
    <w:rsid w:val="002B7B1E"/>
    <w:rsid w:val="002B7BE3"/>
    <w:rsid w:val="002C0C4B"/>
    <w:rsid w:val="002C460D"/>
    <w:rsid w:val="002D4EA8"/>
    <w:rsid w:val="002E7D3A"/>
    <w:rsid w:val="00301078"/>
    <w:rsid w:val="00302A6A"/>
    <w:rsid w:val="00303C3A"/>
    <w:rsid w:val="003106BF"/>
    <w:rsid w:val="003148DE"/>
    <w:rsid w:val="00322917"/>
    <w:rsid w:val="00340B24"/>
    <w:rsid w:val="003425BE"/>
    <w:rsid w:val="00366F2F"/>
    <w:rsid w:val="003673DE"/>
    <w:rsid w:val="0037123D"/>
    <w:rsid w:val="00377A3D"/>
    <w:rsid w:val="00380000"/>
    <w:rsid w:val="003922EA"/>
    <w:rsid w:val="00393A7D"/>
    <w:rsid w:val="003B6FEE"/>
    <w:rsid w:val="003C155E"/>
    <w:rsid w:val="003C3A26"/>
    <w:rsid w:val="003C3CFB"/>
    <w:rsid w:val="003C7C27"/>
    <w:rsid w:val="003D2202"/>
    <w:rsid w:val="003D2FE8"/>
    <w:rsid w:val="003D4737"/>
    <w:rsid w:val="003E0529"/>
    <w:rsid w:val="003E55D1"/>
    <w:rsid w:val="003E5E9B"/>
    <w:rsid w:val="003F2178"/>
    <w:rsid w:val="003F3B20"/>
    <w:rsid w:val="003F4062"/>
    <w:rsid w:val="003F5464"/>
    <w:rsid w:val="003F6D06"/>
    <w:rsid w:val="00404C27"/>
    <w:rsid w:val="0040605A"/>
    <w:rsid w:val="004068A5"/>
    <w:rsid w:val="004079F6"/>
    <w:rsid w:val="004266DD"/>
    <w:rsid w:val="00434C8F"/>
    <w:rsid w:val="004518E7"/>
    <w:rsid w:val="00452D5B"/>
    <w:rsid w:val="00456FD4"/>
    <w:rsid w:val="00472A16"/>
    <w:rsid w:val="00474EA0"/>
    <w:rsid w:val="00475535"/>
    <w:rsid w:val="0048388E"/>
    <w:rsid w:val="004854F3"/>
    <w:rsid w:val="00490771"/>
    <w:rsid w:val="00495126"/>
    <w:rsid w:val="004A135C"/>
    <w:rsid w:val="004A3E7A"/>
    <w:rsid w:val="004A5905"/>
    <w:rsid w:val="004C33A0"/>
    <w:rsid w:val="004D6C9E"/>
    <w:rsid w:val="004E19E8"/>
    <w:rsid w:val="004E3213"/>
    <w:rsid w:val="004E39D9"/>
    <w:rsid w:val="004E6D40"/>
    <w:rsid w:val="004E764A"/>
    <w:rsid w:val="004F1979"/>
    <w:rsid w:val="004F1BD5"/>
    <w:rsid w:val="004F4233"/>
    <w:rsid w:val="004F67BE"/>
    <w:rsid w:val="0050585A"/>
    <w:rsid w:val="005074DE"/>
    <w:rsid w:val="0051254A"/>
    <w:rsid w:val="00517CC7"/>
    <w:rsid w:val="00526508"/>
    <w:rsid w:val="00531375"/>
    <w:rsid w:val="00534036"/>
    <w:rsid w:val="00537794"/>
    <w:rsid w:val="00537D3F"/>
    <w:rsid w:val="0054229E"/>
    <w:rsid w:val="00545E0F"/>
    <w:rsid w:val="005473A1"/>
    <w:rsid w:val="00553263"/>
    <w:rsid w:val="00554921"/>
    <w:rsid w:val="00557698"/>
    <w:rsid w:val="00575399"/>
    <w:rsid w:val="005778FA"/>
    <w:rsid w:val="0058713B"/>
    <w:rsid w:val="005A6545"/>
    <w:rsid w:val="005A7152"/>
    <w:rsid w:val="005C29D7"/>
    <w:rsid w:val="005C5193"/>
    <w:rsid w:val="005D2681"/>
    <w:rsid w:val="005D3C12"/>
    <w:rsid w:val="005D6A72"/>
    <w:rsid w:val="005E2262"/>
    <w:rsid w:val="005E544E"/>
    <w:rsid w:val="005F1065"/>
    <w:rsid w:val="00603241"/>
    <w:rsid w:val="00606D6A"/>
    <w:rsid w:val="00611704"/>
    <w:rsid w:val="00612BF0"/>
    <w:rsid w:val="00614BD7"/>
    <w:rsid w:val="00625DCB"/>
    <w:rsid w:val="00632511"/>
    <w:rsid w:val="00633462"/>
    <w:rsid w:val="00637766"/>
    <w:rsid w:val="0064150C"/>
    <w:rsid w:val="00644B23"/>
    <w:rsid w:val="006825A2"/>
    <w:rsid w:val="0068438F"/>
    <w:rsid w:val="00685B26"/>
    <w:rsid w:val="00686E76"/>
    <w:rsid w:val="006B0C74"/>
    <w:rsid w:val="006B2633"/>
    <w:rsid w:val="006B51CF"/>
    <w:rsid w:val="006B7347"/>
    <w:rsid w:val="006C1C38"/>
    <w:rsid w:val="006D2A76"/>
    <w:rsid w:val="006D353C"/>
    <w:rsid w:val="006D48F5"/>
    <w:rsid w:val="006D6675"/>
    <w:rsid w:val="006E3A38"/>
    <w:rsid w:val="006E4C8C"/>
    <w:rsid w:val="006F1EB6"/>
    <w:rsid w:val="006F504E"/>
    <w:rsid w:val="006F5D70"/>
    <w:rsid w:val="00704EB2"/>
    <w:rsid w:val="0071077B"/>
    <w:rsid w:val="0071086A"/>
    <w:rsid w:val="00720964"/>
    <w:rsid w:val="007217DA"/>
    <w:rsid w:val="00721B36"/>
    <w:rsid w:val="00727E2B"/>
    <w:rsid w:val="00730106"/>
    <w:rsid w:val="00731CC0"/>
    <w:rsid w:val="00731F2E"/>
    <w:rsid w:val="00734B82"/>
    <w:rsid w:val="00742487"/>
    <w:rsid w:val="0074531E"/>
    <w:rsid w:val="00760EF8"/>
    <w:rsid w:val="007744EF"/>
    <w:rsid w:val="00775D19"/>
    <w:rsid w:val="00777DB6"/>
    <w:rsid w:val="007811F6"/>
    <w:rsid w:val="0078536D"/>
    <w:rsid w:val="0078549A"/>
    <w:rsid w:val="00786D97"/>
    <w:rsid w:val="00794A39"/>
    <w:rsid w:val="007A2D2D"/>
    <w:rsid w:val="007A4673"/>
    <w:rsid w:val="007B14B2"/>
    <w:rsid w:val="007B307F"/>
    <w:rsid w:val="007B4BA2"/>
    <w:rsid w:val="007C0422"/>
    <w:rsid w:val="007C5316"/>
    <w:rsid w:val="007D5FD0"/>
    <w:rsid w:val="007E43A2"/>
    <w:rsid w:val="007E7213"/>
    <w:rsid w:val="00803DD8"/>
    <w:rsid w:val="00806C1B"/>
    <w:rsid w:val="00813073"/>
    <w:rsid w:val="00815C83"/>
    <w:rsid w:val="00821722"/>
    <w:rsid w:val="00826126"/>
    <w:rsid w:val="008404DD"/>
    <w:rsid w:val="008408C5"/>
    <w:rsid w:val="008455D7"/>
    <w:rsid w:val="008571AD"/>
    <w:rsid w:val="00867F3C"/>
    <w:rsid w:val="0087258B"/>
    <w:rsid w:val="00885209"/>
    <w:rsid w:val="00895D13"/>
    <w:rsid w:val="008C679B"/>
    <w:rsid w:val="008D7C5A"/>
    <w:rsid w:val="008E43C0"/>
    <w:rsid w:val="008E4DC8"/>
    <w:rsid w:val="008E62B3"/>
    <w:rsid w:val="008F0AC3"/>
    <w:rsid w:val="008F2BF6"/>
    <w:rsid w:val="008F32F3"/>
    <w:rsid w:val="00900C8C"/>
    <w:rsid w:val="009014AF"/>
    <w:rsid w:val="009038BC"/>
    <w:rsid w:val="00905749"/>
    <w:rsid w:val="0090681F"/>
    <w:rsid w:val="009178DC"/>
    <w:rsid w:val="00920EC0"/>
    <w:rsid w:val="009210CF"/>
    <w:rsid w:val="0092311C"/>
    <w:rsid w:val="0092549E"/>
    <w:rsid w:val="00926B4A"/>
    <w:rsid w:val="00930C64"/>
    <w:rsid w:val="00932224"/>
    <w:rsid w:val="00934561"/>
    <w:rsid w:val="00954F1A"/>
    <w:rsid w:val="00956DBD"/>
    <w:rsid w:val="00960229"/>
    <w:rsid w:val="009619C8"/>
    <w:rsid w:val="00962DF1"/>
    <w:rsid w:val="0097542D"/>
    <w:rsid w:val="009770AE"/>
    <w:rsid w:val="009910CC"/>
    <w:rsid w:val="009935D7"/>
    <w:rsid w:val="009A0928"/>
    <w:rsid w:val="009A135D"/>
    <w:rsid w:val="009A465F"/>
    <w:rsid w:val="009B5CA1"/>
    <w:rsid w:val="009C0701"/>
    <w:rsid w:val="009C1F62"/>
    <w:rsid w:val="009C1F9F"/>
    <w:rsid w:val="009D568A"/>
    <w:rsid w:val="009D7461"/>
    <w:rsid w:val="009E00BC"/>
    <w:rsid w:val="009E0F7E"/>
    <w:rsid w:val="009E615E"/>
    <w:rsid w:val="009F1FB1"/>
    <w:rsid w:val="00A11B2D"/>
    <w:rsid w:val="00A2588E"/>
    <w:rsid w:val="00A32174"/>
    <w:rsid w:val="00A321CF"/>
    <w:rsid w:val="00A32F0C"/>
    <w:rsid w:val="00A419D8"/>
    <w:rsid w:val="00A4544C"/>
    <w:rsid w:val="00A464C1"/>
    <w:rsid w:val="00A53676"/>
    <w:rsid w:val="00A607C0"/>
    <w:rsid w:val="00A629A7"/>
    <w:rsid w:val="00A65D4F"/>
    <w:rsid w:val="00A92A75"/>
    <w:rsid w:val="00A92F42"/>
    <w:rsid w:val="00A973F7"/>
    <w:rsid w:val="00AA3A5A"/>
    <w:rsid w:val="00AB0897"/>
    <w:rsid w:val="00AC0BD9"/>
    <w:rsid w:val="00AD61FB"/>
    <w:rsid w:val="00AF09D8"/>
    <w:rsid w:val="00AF0E6F"/>
    <w:rsid w:val="00AF4D63"/>
    <w:rsid w:val="00AF7731"/>
    <w:rsid w:val="00B0211C"/>
    <w:rsid w:val="00B03F21"/>
    <w:rsid w:val="00B04B7F"/>
    <w:rsid w:val="00B050B3"/>
    <w:rsid w:val="00B0550D"/>
    <w:rsid w:val="00B14B02"/>
    <w:rsid w:val="00B25A69"/>
    <w:rsid w:val="00B27D73"/>
    <w:rsid w:val="00B444C5"/>
    <w:rsid w:val="00B62734"/>
    <w:rsid w:val="00B63CC3"/>
    <w:rsid w:val="00B65C1A"/>
    <w:rsid w:val="00B735FD"/>
    <w:rsid w:val="00B75DE8"/>
    <w:rsid w:val="00B81DFD"/>
    <w:rsid w:val="00B82234"/>
    <w:rsid w:val="00B927F6"/>
    <w:rsid w:val="00B9311A"/>
    <w:rsid w:val="00B9725E"/>
    <w:rsid w:val="00B97D35"/>
    <w:rsid w:val="00BA5844"/>
    <w:rsid w:val="00BA7E9D"/>
    <w:rsid w:val="00BB63E8"/>
    <w:rsid w:val="00BC58B1"/>
    <w:rsid w:val="00BD42A3"/>
    <w:rsid w:val="00BD68D8"/>
    <w:rsid w:val="00BD778C"/>
    <w:rsid w:val="00BD786D"/>
    <w:rsid w:val="00BF3E39"/>
    <w:rsid w:val="00C023F9"/>
    <w:rsid w:val="00C02FC8"/>
    <w:rsid w:val="00C07EC4"/>
    <w:rsid w:val="00C22C15"/>
    <w:rsid w:val="00C27682"/>
    <w:rsid w:val="00C30F1F"/>
    <w:rsid w:val="00C35208"/>
    <w:rsid w:val="00C408DB"/>
    <w:rsid w:val="00C453D9"/>
    <w:rsid w:val="00C47FCF"/>
    <w:rsid w:val="00C555BF"/>
    <w:rsid w:val="00C56A5F"/>
    <w:rsid w:val="00C749B4"/>
    <w:rsid w:val="00C823D3"/>
    <w:rsid w:val="00CA1A98"/>
    <w:rsid w:val="00CB6C66"/>
    <w:rsid w:val="00CC2FD6"/>
    <w:rsid w:val="00CC59AA"/>
    <w:rsid w:val="00CC74C0"/>
    <w:rsid w:val="00CE17AB"/>
    <w:rsid w:val="00CE30C3"/>
    <w:rsid w:val="00CE4319"/>
    <w:rsid w:val="00CE5A3D"/>
    <w:rsid w:val="00CF6DDB"/>
    <w:rsid w:val="00D0452F"/>
    <w:rsid w:val="00D12D74"/>
    <w:rsid w:val="00D142ED"/>
    <w:rsid w:val="00D1464C"/>
    <w:rsid w:val="00D2231E"/>
    <w:rsid w:val="00D23BCD"/>
    <w:rsid w:val="00D2452C"/>
    <w:rsid w:val="00D25915"/>
    <w:rsid w:val="00D312EE"/>
    <w:rsid w:val="00D33C45"/>
    <w:rsid w:val="00D34457"/>
    <w:rsid w:val="00D36D43"/>
    <w:rsid w:val="00D379FB"/>
    <w:rsid w:val="00D65379"/>
    <w:rsid w:val="00D71E73"/>
    <w:rsid w:val="00D86565"/>
    <w:rsid w:val="00D9596E"/>
    <w:rsid w:val="00DA58D7"/>
    <w:rsid w:val="00DD1643"/>
    <w:rsid w:val="00DF0982"/>
    <w:rsid w:val="00DF3939"/>
    <w:rsid w:val="00E02318"/>
    <w:rsid w:val="00E05509"/>
    <w:rsid w:val="00E06D26"/>
    <w:rsid w:val="00E14291"/>
    <w:rsid w:val="00E17698"/>
    <w:rsid w:val="00E22C58"/>
    <w:rsid w:val="00E23029"/>
    <w:rsid w:val="00E31A48"/>
    <w:rsid w:val="00E327C1"/>
    <w:rsid w:val="00E336A6"/>
    <w:rsid w:val="00E345DA"/>
    <w:rsid w:val="00E34D12"/>
    <w:rsid w:val="00E35B74"/>
    <w:rsid w:val="00E367A2"/>
    <w:rsid w:val="00E3763F"/>
    <w:rsid w:val="00E413E8"/>
    <w:rsid w:val="00E43C76"/>
    <w:rsid w:val="00E4461E"/>
    <w:rsid w:val="00E479E4"/>
    <w:rsid w:val="00E53F9C"/>
    <w:rsid w:val="00E57DD5"/>
    <w:rsid w:val="00E81C8C"/>
    <w:rsid w:val="00E8312D"/>
    <w:rsid w:val="00E83C67"/>
    <w:rsid w:val="00E84840"/>
    <w:rsid w:val="00E854D0"/>
    <w:rsid w:val="00E93BFA"/>
    <w:rsid w:val="00E94A82"/>
    <w:rsid w:val="00EA170E"/>
    <w:rsid w:val="00EA5C18"/>
    <w:rsid w:val="00EB5271"/>
    <w:rsid w:val="00EC2249"/>
    <w:rsid w:val="00EC678C"/>
    <w:rsid w:val="00EF648A"/>
    <w:rsid w:val="00EF6EF6"/>
    <w:rsid w:val="00F05AF4"/>
    <w:rsid w:val="00F10127"/>
    <w:rsid w:val="00F20A62"/>
    <w:rsid w:val="00F2464A"/>
    <w:rsid w:val="00F24E9D"/>
    <w:rsid w:val="00F32C40"/>
    <w:rsid w:val="00F36FE7"/>
    <w:rsid w:val="00F37899"/>
    <w:rsid w:val="00F40FA4"/>
    <w:rsid w:val="00F46BE0"/>
    <w:rsid w:val="00F52255"/>
    <w:rsid w:val="00F628CE"/>
    <w:rsid w:val="00F63250"/>
    <w:rsid w:val="00F64885"/>
    <w:rsid w:val="00F66255"/>
    <w:rsid w:val="00F71B48"/>
    <w:rsid w:val="00F72BC8"/>
    <w:rsid w:val="00F90583"/>
    <w:rsid w:val="00F91CA8"/>
    <w:rsid w:val="00F94DD3"/>
    <w:rsid w:val="00FA198C"/>
    <w:rsid w:val="00FB4F22"/>
    <w:rsid w:val="00FB5BB4"/>
    <w:rsid w:val="00FB6294"/>
    <w:rsid w:val="00FB7FE8"/>
    <w:rsid w:val="00FC301B"/>
    <w:rsid w:val="00FE2184"/>
    <w:rsid w:val="00FE2BBE"/>
    <w:rsid w:val="00FE361D"/>
    <w:rsid w:val="00FF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97AD1"/>
  <w15:docId w15:val="{0C26ABE6-7461-784D-90C9-699C1A1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MalgunUnicode MS" w:hAnsi="Book Antiqua"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4F"/>
    <w:pPr>
      <w:spacing w:after="120" w:line="360" w:lineRule="auto"/>
    </w:pPr>
  </w:style>
  <w:style w:type="paragraph" w:styleId="Heading1">
    <w:name w:val="heading 1"/>
    <w:basedOn w:val="Normal"/>
    <w:next w:val="Normal"/>
    <w:link w:val="Heading1Char"/>
    <w:qFormat/>
    <w:rsid w:val="00A65D4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A65D4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D4F"/>
    <w:rPr>
      <w:rFonts w:asciiTheme="majorHAnsi" w:eastAsiaTheme="majorEastAsia" w:hAnsiTheme="majorHAnsi" w:cstheme="majorBidi"/>
      <w:b/>
      <w:bCs/>
      <w:color w:val="2F5496" w:themeColor="accent1" w:themeShade="BF"/>
      <w:sz w:val="28"/>
      <w:szCs w:val="28"/>
      <w:lang w:eastAsia="en-US"/>
    </w:rPr>
  </w:style>
  <w:style w:type="character" w:customStyle="1" w:styleId="Heading2Char">
    <w:name w:val="Heading 2 Char"/>
    <w:basedOn w:val="DefaultParagraphFont"/>
    <w:link w:val="Heading2"/>
    <w:rsid w:val="00A65D4F"/>
    <w:rPr>
      <w:rFonts w:asciiTheme="majorHAnsi" w:eastAsiaTheme="majorEastAsia" w:hAnsiTheme="majorHAnsi" w:cstheme="majorBidi"/>
      <w:b/>
      <w:bCs/>
      <w:color w:val="4472C4" w:themeColor="accent1"/>
      <w:sz w:val="26"/>
      <w:szCs w:val="26"/>
      <w:lang w:eastAsia="en-US"/>
    </w:rPr>
  </w:style>
  <w:style w:type="character" w:styleId="Hyperlink">
    <w:name w:val="Hyperlink"/>
    <w:basedOn w:val="DefaultParagraphFont"/>
    <w:uiPriority w:val="99"/>
    <w:rsid w:val="00A65D4F"/>
    <w:rPr>
      <w:rFonts w:cs="Times New Roman"/>
      <w:color w:val="0000FF"/>
      <w:u w:val="single"/>
    </w:rPr>
  </w:style>
  <w:style w:type="paragraph" w:styleId="Footer">
    <w:name w:val="footer"/>
    <w:basedOn w:val="Normal"/>
    <w:link w:val="FooterChar"/>
    <w:uiPriority w:val="99"/>
    <w:rsid w:val="00A65D4F"/>
    <w:pPr>
      <w:tabs>
        <w:tab w:val="center" w:pos="4320"/>
        <w:tab w:val="right" w:pos="8640"/>
      </w:tabs>
    </w:pPr>
  </w:style>
  <w:style w:type="character" w:customStyle="1" w:styleId="FooterChar">
    <w:name w:val="Footer Char"/>
    <w:basedOn w:val="DefaultParagraphFont"/>
    <w:link w:val="Footer"/>
    <w:uiPriority w:val="99"/>
    <w:rsid w:val="00A65D4F"/>
    <w:rPr>
      <w:rFonts w:ascii="Book Antiqua" w:eastAsia="맑은 고딕" w:hAnsi="Book Antiqua" w:cs="Tahoma"/>
      <w:sz w:val="20"/>
      <w:szCs w:val="20"/>
      <w:lang w:eastAsia="en-US"/>
    </w:rPr>
  </w:style>
  <w:style w:type="character" w:styleId="PageNumber">
    <w:name w:val="page number"/>
    <w:basedOn w:val="DefaultParagraphFont"/>
    <w:uiPriority w:val="99"/>
    <w:rsid w:val="00A65D4F"/>
    <w:rPr>
      <w:rFonts w:cs="Times New Roman"/>
    </w:rPr>
  </w:style>
  <w:style w:type="character" w:styleId="FootnoteReference">
    <w:name w:val="footnote reference"/>
    <w:basedOn w:val="DefaultParagraphFont"/>
    <w:uiPriority w:val="99"/>
    <w:rsid w:val="00A65D4F"/>
    <w:rPr>
      <w:rFonts w:cs="Times New Roman"/>
      <w:vertAlign w:val="superscript"/>
    </w:rPr>
  </w:style>
  <w:style w:type="paragraph" w:styleId="FootnoteText">
    <w:name w:val="footnote text"/>
    <w:basedOn w:val="Normal"/>
    <w:link w:val="FootnoteTextChar"/>
    <w:uiPriority w:val="99"/>
    <w:rsid w:val="00A65D4F"/>
    <w:pPr>
      <w:ind w:left="187" w:hanging="187"/>
      <w:jc w:val="both"/>
    </w:pPr>
    <w:rPr>
      <w:rFonts w:ascii="Arial" w:hAnsi="Arial"/>
      <w:color w:val="000000"/>
      <w:sz w:val="18"/>
    </w:rPr>
  </w:style>
  <w:style w:type="character" w:customStyle="1" w:styleId="FootnoteTextChar">
    <w:name w:val="Footnote Text Char"/>
    <w:basedOn w:val="DefaultParagraphFont"/>
    <w:link w:val="FootnoteText"/>
    <w:uiPriority w:val="99"/>
    <w:rsid w:val="00A65D4F"/>
    <w:rPr>
      <w:rFonts w:ascii="Arial" w:eastAsia="맑은 고딕" w:hAnsi="Arial" w:cs="Times New Roman"/>
      <w:color w:val="000000"/>
      <w:sz w:val="18"/>
      <w:szCs w:val="20"/>
      <w:lang w:eastAsia="en-US"/>
    </w:rPr>
  </w:style>
  <w:style w:type="paragraph" w:styleId="ListParagraph">
    <w:name w:val="List Paragraph"/>
    <w:basedOn w:val="Normal"/>
    <w:link w:val="ListParagraphChar"/>
    <w:uiPriority w:val="34"/>
    <w:qFormat/>
    <w:rsid w:val="00A65D4F"/>
    <w:pPr>
      <w:spacing w:after="200" w:line="276" w:lineRule="auto"/>
      <w:ind w:left="720"/>
      <w:contextualSpacing/>
    </w:pPr>
    <w:rPr>
      <w:rFonts w:ascii="Calibri" w:hAnsi="Calibri"/>
    </w:rPr>
  </w:style>
  <w:style w:type="table" w:styleId="TableGrid">
    <w:name w:val="Table Grid"/>
    <w:basedOn w:val="TableNormal"/>
    <w:uiPriority w:val="59"/>
    <w:rsid w:val="00A65D4F"/>
    <w:pPr>
      <w:spacing w:after="120" w:line="36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65D4F"/>
    <w:rPr>
      <w:rFonts w:ascii="Calibri" w:eastAsia="MalgunUnicode MS" w:hAnsi="Calibri" w:cs="Times New Roman"/>
      <w:sz w:val="20"/>
      <w:szCs w:val="20"/>
    </w:rPr>
  </w:style>
  <w:style w:type="table" w:customStyle="1" w:styleId="GridTable1Light1">
    <w:name w:val="Grid Table 1 Light1"/>
    <w:basedOn w:val="TableNormal"/>
    <w:uiPriority w:val="99"/>
    <w:rsid w:val="00A65D4F"/>
    <w:pPr>
      <w:spacing w:after="0" w:line="240" w:lineRule="auto"/>
    </w:pPr>
    <w:rPr>
      <w:rFonts w:ascii="Times New Roman" w:eastAsia="맑은 고딕"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header">
    <w:name w:val="Section header"/>
    <w:basedOn w:val="Normal"/>
    <w:next w:val="Normal"/>
    <w:autoRedefine/>
    <w:rsid w:val="00A65D4F"/>
    <w:pPr>
      <w:spacing w:before="120" w:line="240" w:lineRule="auto"/>
      <w:jc w:val="center"/>
      <w:outlineLvl w:val="0"/>
    </w:pPr>
    <w:rPr>
      <w:rFonts w:asciiTheme="minorHAnsi" w:eastAsia="Times New Roman" w:hAnsiTheme="minorHAnsi" w:cstheme="minorHAnsi"/>
      <w:b/>
      <w:sz w:val="28"/>
      <w:szCs w:val="28"/>
    </w:rPr>
  </w:style>
  <w:style w:type="paragraph" w:styleId="BalloonText">
    <w:name w:val="Balloon Text"/>
    <w:basedOn w:val="Normal"/>
    <w:link w:val="BalloonTextChar"/>
    <w:uiPriority w:val="99"/>
    <w:semiHidden/>
    <w:unhideWhenUsed/>
    <w:rsid w:val="004F4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33"/>
    <w:rPr>
      <w:rFonts w:ascii="Segoe UI" w:eastAsia="맑은 고딕" w:hAnsi="Segoe UI" w:cs="Segoe UI"/>
      <w:sz w:val="18"/>
      <w:szCs w:val="18"/>
      <w:lang w:eastAsia="en-US"/>
    </w:rPr>
  </w:style>
  <w:style w:type="paragraph" w:styleId="Header">
    <w:name w:val="header"/>
    <w:basedOn w:val="Normal"/>
    <w:link w:val="HeaderChar"/>
    <w:uiPriority w:val="99"/>
    <w:unhideWhenUsed/>
    <w:rsid w:val="0068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A2"/>
    <w:rPr>
      <w:rFonts w:ascii="Book Antiqua" w:eastAsia="맑은 고딕" w:hAnsi="Book Antiqua" w:cs="Tahoma"/>
      <w:sz w:val="20"/>
      <w:szCs w:val="20"/>
      <w:lang w:eastAsia="en-US"/>
    </w:rPr>
  </w:style>
  <w:style w:type="paragraph" w:customStyle="1" w:styleId="SOMmeetingdoc">
    <w:name w:val="SOM meeting doc"/>
    <w:basedOn w:val="Normal"/>
    <w:link w:val="SOMmeetingdocChar"/>
    <w:qFormat/>
    <w:rsid w:val="006825A2"/>
    <w:pPr>
      <w:widowControl w:val="0"/>
      <w:tabs>
        <w:tab w:val="left" w:pos="720"/>
        <w:tab w:val="left" w:pos="1080"/>
        <w:tab w:val="left" w:pos="1440"/>
      </w:tabs>
      <w:snapToGrid w:val="0"/>
      <w:spacing w:before="120" w:line="276" w:lineRule="auto"/>
      <w:ind w:left="760" w:hanging="360"/>
      <w:jc w:val="both"/>
    </w:pPr>
    <w:rPr>
      <w:rFonts w:eastAsia="바탕" w:cs="Angsana New"/>
      <w:kern w:val="2"/>
      <w:lang w:val="en-GB"/>
    </w:rPr>
  </w:style>
  <w:style w:type="character" w:customStyle="1" w:styleId="SOMmeetingdocChar">
    <w:name w:val="SOM meeting doc Char"/>
    <w:basedOn w:val="DefaultParagraphFont"/>
    <w:link w:val="SOMmeetingdoc"/>
    <w:rsid w:val="006825A2"/>
    <w:rPr>
      <w:rFonts w:ascii="Book Antiqua" w:eastAsia="바탕" w:hAnsi="Book Antiqua" w:cs="Angsana New"/>
      <w:kern w:val="2"/>
      <w:lang w:val="en-GB"/>
    </w:rPr>
  </w:style>
  <w:style w:type="paragraph" w:customStyle="1" w:styleId="SOMstyple">
    <w:name w:val="SOM styple"/>
    <w:basedOn w:val="Normal"/>
    <w:link w:val="SOMstypleChar"/>
    <w:qFormat/>
    <w:rsid w:val="006825A2"/>
    <w:pPr>
      <w:widowControl w:val="0"/>
      <w:numPr>
        <w:numId w:val="7"/>
      </w:numPr>
      <w:tabs>
        <w:tab w:val="left" w:pos="720"/>
        <w:tab w:val="left" w:pos="1080"/>
        <w:tab w:val="left" w:pos="1440"/>
      </w:tabs>
      <w:snapToGrid w:val="0"/>
      <w:spacing w:before="120" w:line="276" w:lineRule="auto"/>
      <w:jc w:val="both"/>
    </w:pPr>
    <w:rPr>
      <w:rFonts w:eastAsia="바탕" w:cs="Angsana New"/>
      <w:kern w:val="2"/>
      <w:lang w:val="en-GB"/>
    </w:rPr>
  </w:style>
  <w:style w:type="character" w:customStyle="1" w:styleId="SOMstypleChar">
    <w:name w:val="SOM styple Char"/>
    <w:basedOn w:val="DefaultParagraphFont"/>
    <w:link w:val="SOMstyple"/>
    <w:rsid w:val="006825A2"/>
    <w:rPr>
      <w:rFonts w:ascii="Book Antiqua" w:eastAsia="바탕" w:hAnsi="Book Antiqua" w:cs="Angsana New"/>
      <w:kern w:val="2"/>
      <w:lang w:val="en-GB"/>
    </w:rPr>
  </w:style>
  <w:style w:type="table" w:customStyle="1" w:styleId="ListTable3-Accent11">
    <w:name w:val="List Table 3 - Accent 11"/>
    <w:basedOn w:val="TableNormal"/>
    <w:uiPriority w:val="48"/>
    <w:rsid w:val="00731CC0"/>
    <w:pPr>
      <w:spacing w:after="0" w:line="240" w:lineRule="auto"/>
    </w:pPr>
    <w:rPr>
      <w:rFonts w:asciiTheme="minorHAnsi" w:eastAsiaTheme="minorEastAsia" w:hAnsiTheme="minorHAnsi" w:cstheme="minorBidi"/>
      <w:lang w:eastAsia="zh-C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FollowedHyperlink">
    <w:name w:val="FollowedHyperlink"/>
    <w:basedOn w:val="DefaultParagraphFont"/>
    <w:uiPriority w:val="99"/>
    <w:semiHidden/>
    <w:unhideWhenUsed/>
    <w:rsid w:val="00956DBD"/>
    <w:rPr>
      <w:color w:val="954F72" w:themeColor="followedHyperlink"/>
      <w:u w:val="single"/>
    </w:rPr>
  </w:style>
  <w:style w:type="paragraph" w:customStyle="1" w:styleId="paragraph">
    <w:name w:val="paragraph"/>
    <w:basedOn w:val="Normal"/>
    <w:rsid w:val="0049077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B6294"/>
    <w:rPr>
      <w:sz w:val="21"/>
      <w:szCs w:val="21"/>
    </w:rPr>
  </w:style>
  <w:style w:type="paragraph" w:styleId="CommentText">
    <w:name w:val="annotation text"/>
    <w:basedOn w:val="Normal"/>
    <w:link w:val="CommentTextChar"/>
    <w:uiPriority w:val="99"/>
    <w:semiHidden/>
    <w:unhideWhenUsed/>
    <w:rsid w:val="00FB6294"/>
  </w:style>
  <w:style w:type="character" w:customStyle="1" w:styleId="CommentTextChar">
    <w:name w:val="Comment Text Char"/>
    <w:basedOn w:val="DefaultParagraphFont"/>
    <w:link w:val="CommentText"/>
    <w:uiPriority w:val="99"/>
    <w:semiHidden/>
    <w:rsid w:val="00FB6294"/>
  </w:style>
  <w:style w:type="paragraph" w:styleId="CommentSubject">
    <w:name w:val="annotation subject"/>
    <w:basedOn w:val="CommentText"/>
    <w:next w:val="CommentText"/>
    <w:link w:val="CommentSubjectChar"/>
    <w:uiPriority w:val="99"/>
    <w:semiHidden/>
    <w:unhideWhenUsed/>
    <w:rsid w:val="00FB6294"/>
    <w:rPr>
      <w:b/>
      <w:bCs/>
    </w:rPr>
  </w:style>
  <w:style w:type="character" w:customStyle="1" w:styleId="CommentSubjectChar">
    <w:name w:val="Comment Subject Char"/>
    <w:basedOn w:val="CommentTextChar"/>
    <w:link w:val="CommentSubject"/>
    <w:uiPriority w:val="99"/>
    <w:semiHidden/>
    <w:rsid w:val="00FB6294"/>
    <w:rPr>
      <w:b/>
      <w:bCs/>
    </w:rPr>
  </w:style>
  <w:style w:type="paragraph" w:styleId="Revision">
    <w:name w:val="Revision"/>
    <w:hidden/>
    <w:uiPriority w:val="99"/>
    <w:semiHidden/>
    <w:rsid w:val="00FB6294"/>
    <w:pPr>
      <w:spacing w:after="0" w:line="240" w:lineRule="auto"/>
    </w:pPr>
  </w:style>
  <w:style w:type="table" w:customStyle="1" w:styleId="11">
    <w:name w:val="网格表 1 浅色1"/>
    <w:basedOn w:val="TableNormal"/>
    <w:uiPriority w:val="99"/>
    <w:rsid w:val="005074DE"/>
    <w:pPr>
      <w:spacing w:after="0" w:line="240" w:lineRule="auto"/>
    </w:pPr>
    <w:rPr>
      <w:rFonts w:ascii="Times New Roman" w:eastAsia="맑은 고딕"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56857">
      <w:bodyDiv w:val="1"/>
      <w:marLeft w:val="0"/>
      <w:marRight w:val="0"/>
      <w:marTop w:val="0"/>
      <w:marBottom w:val="0"/>
      <w:divBdr>
        <w:top w:val="none" w:sz="0" w:space="0" w:color="auto"/>
        <w:left w:val="none" w:sz="0" w:space="0" w:color="auto"/>
        <w:bottom w:val="none" w:sz="0" w:space="0" w:color="auto"/>
        <w:right w:val="none" w:sz="0" w:space="0" w:color="auto"/>
      </w:divBdr>
    </w:div>
    <w:div w:id="601256726">
      <w:bodyDiv w:val="1"/>
      <w:marLeft w:val="0"/>
      <w:marRight w:val="0"/>
      <w:marTop w:val="0"/>
      <w:marBottom w:val="0"/>
      <w:divBdr>
        <w:top w:val="none" w:sz="0" w:space="0" w:color="auto"/>
        <w:left w:val="none" w:sz="0" w:space="0" w:color="auto"/>
        <w:bottom w:val="none" w:sz="0" w:space="0" w:color="auto"/>
        <w:right w:val="none" w:sz="0" w:space="0" w:color="auto"/>
      </w:divBdr>
    </w:div>
    <w:div w:id="693460878">
      <w:bodyDiv w:val="1"/>
      <w:marLeft w:val="0"/>
      <w:marRight w:val="0"/>
      <w:marTop w:val="0"/>
      <w:marBottom w:val="0"/>
      <w:divBdr>
        <w:top w:val="none" w:sz="0" w:space="0" w:color="auto"/>
        <w:left w:val="none" w:sz="0" w:space="0" w:color="auto"/>
        <w:bottom w:val="none" w:sz="0" w:space="0" w:color="auto"/>
        <w:right w:val="none" w:sz="0" w:space="0" w:color="auto"/>
      </w:divBdr>
    </w:div>
    <w:div w:id="967051613">
      <w:bodyDiv w:val="1"/>
      <w:marLeft w:val="0"/>
      <w:marRight w:val="0"/>
      <w:marTop w:val="0"/>
      <w:marBottom w:val="0"/>
      <w:divBdr>
        <w:top w:val="none" w:sz="0" w:space="0" w:color="auto"/>
        <w:left w:val="none" w:sz="0" w:space="0" w:color="auto"/>
        <w:bottom w:val="none" w:sz="0" w:space="0" w:color="auto"/>
        <w:right w:val="none" w:sz="0" w:space="0" w:color="auto"/>
      </w:divBdr>
    </w:div>
    <w:div w:id="1132791186">
      <w:bodyDiv w:val="1"/>
      <w:marLeft w:val="0"/>
      <w:marRight w:val="0"/>
      <w:marTop w:val="0"/>
      <w:marBottom w:val="0"/>
      <w:divBdr>
        <w:top w:val="none" w:sz="0" w:space="0" w:color="auto"/>
        <w:left w:val="none" w:sz="0" w:space="0" w:color="auto"/>
        <w:bottom w:val="none" w:sz="0" w:space="0" w:color="auto"/>
        <w:right w:val="none" w:sz="0" w:space="0" w:color="auto"/>
      </w:divBdr>
    </w:div>
    <w:div w:id="1490830103">
      <w:bodyDiv w:val="1"/>
      <w:marLeft w:val="0"/>
      <w:marRight w:val="0"/>
      <w:marTop w:val="0"/>
      <w:marBottom w:val="0"/>
      <w:divBdr>
        <w:top w:val="none" w:sz="0" w:space="0" w:color="auto"/>
        <w:left w:val="none" w:sz="0" w:space="0" w:color="auto"/>
        <w:bottom w:val="none" w:sz="0" w:space="0" w:color="auto"/>
        <w:right w:val="none" w:sz="0" w:space="0" w:color="auto"/>
      </w:divBdr>
    </w:div>
    <w:div w:id="1624845741">
      <w:bodyDiv w:val="1"/>
      <w:marLeft w:val="0"/>
      <w:marRight w:val="0"/>
      <w:marTop w:val="0"/>
      <w:marBottom w:val="0"/>
      <w:divBdr>
        <w:top w:val="none" w:sz="0" w:space="0" w:color="auto"/>
        <w:left w:val="none" w:sz="0" w:space="0" w:color="auto"/>
        <w:bottom w:val="none" w:sz="0" w:space="0" w:color="auto"/>
        <w:right w:val="none" w:sz="0" w:space="0" w:color="auto"/>
      </w:divBdr>
    </w:div>
    <w:div w:id="1940526565">
      <w:bodyDiv w:val="1"/>
      <w:marLeft w:val="0"/>
      <w:marRight w:val="0"/>
      <w:marTop w:val="0"/>
      <w:marBottom w:val="0"/>
      <w:divBdr>
        <w:top w:val="none" w:sz="0" w:space="0" w:color="auto"/>
        <w:left w:val="none" w:sz="0" w:space="0" w:color="auto"/>
        <w:bottom w:val="none" w:sz="0" w:space="0" w:color="auto"/>
        <w:right w:val="none" w:sz="0" w:space="0" w:color="auto"/>
      </w:divBdr>
    </w:div>
    <w:div w:id="2014719332">
      <w:bodyDiv w:val="1"/>
      <w:marLeft w:val="0"/>
      <w:marRight w:val="0"/>
      <w:marTop w:val="0"/>
      <w:marBottom w:val="0"/>
      <w:divBdr>
        <w:top w:val="none" w:sz="0" w:space="0" w:color="auto"/>
        <w:left w:val="none" w:sz="0" w:space="0" w:color="auto"/>
        <w:bottom w:val="none" w:sz="0" w:space="0" w:color="auto"/>
        <w:right w:val="none" w:sz="0" w:space="0" w:color="auto"/>
      </w:divBdr>
    </w:div>
    <w:div w:id="2016299444">
      <w:bodyDiv w:val="1"/>
      <w:marLeft w:val="0"/>
      <w:marRight w:val="0"/>
      <w:marTop w:val="0"/>
      <w:marBottom w:val="0"/>
      <w:divBdr>
        <w:top w:val="none" w:sz="0" w:space="0" w:color="auto"/>
        <w:left w:val="none" w:sz="0" w:space="0" w:color="auto"/>
        <w:bottom w:val="none" w:sz="0" w:space="0" w:color="auto"/>
        <w:right w:val="none" w:sz="0" w:space="0" w:color="auto"/>
      </w:divBdr>
    </w:div>
    <w:div w:id="2089422346">
      <w:bodyDiv w:val="1"/>
      <w:marLeft w:val="0"/>
      <w:marRight w:val="0"/>
      <w:marTop w:val="0"/>
      <w:marBottom w:val="0"/>
      <w:divBdr>
        <w:top w:val="none" w:sz="0" w:space="0" w:color="auto"/>
        <w:left w:val="none" w:sz="0" w:space="0" w:color="auto"/>
        <w:bottom w:val="none" w:sz="0" w:space="0" w:color="auto"/>
        <w:right w:val="none" w:sz="0" w:space="0" w:color="auto"/>
      </w:divBdr>
    </w:div>
    <w:div w:id="2115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easpec.org/sites/default/files/NEACAP%20TOR_adopted%20in%20the%20SOM-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754727DDF2004181DC5E9E376AF440" ma:contentTypeVersion="13" ma:contentTypeDescription="Create a new document." ma:contentTypeScope="" ma:versionID="cfa3a1a01f75ae0158c522ded72b0922">
  <xsd:schema xmlns:xsd="http://www.w3.org/2001/XMLSchema" xmlns:xs="http://www.w3.org/2001/XMLSchema" xmlns:p="http://schemas.microsoft.com/office/2006/metadata/properties" xmlns:ns3="7bf39369-1f7d-4281-8938-dd34a2182174" xmlns:ns4="ee509b82-0bca-49ba-8efd-aa85141024b3" targetNamespace="http://schemas.microsoft.com/office/2006/metadata/properties" ma:root="true" ma:fieldsID="01a4690c34807231eacb81ee0073e213" ns3:_="" ns4:_="">
    <xsd:import namespace="7bf39369-1f7d-4281-8938-dd34a2182174"/>
    <xsd:import namespace="ee509b82-0bca-49ba-8efd-aa8514102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39369-1f7d-4281-8938-dd34a21821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09b82-0bca-49ba-8efd-aa851410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2C0A8-09E5-453A-A854-0C129D3B5ACD}">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7bf39369-1f7d-4281-8938-dd34a2182174"/>
    <ds:schemaRef ds:uri="http://schemas.microsoft.com/office/infopath/2007/PartnerControls"/>
    <ds:schemaRef ds:uri="http://schemas.openxmlformats.org/package/2006/metadata/core-properties"/>
    <ds:schemaRef ds:uri="ee509b82-0bca-49ba-8efd-aa85141024b3"/>
    <ds:schemaRef ds:uri="http://www.w3.org/XML/1998/namespace"/>
  </ds:schemaRefs>
</ds:datastoreItem>
</file>

<file path=customXml/itemProps2.xml><?xml version="1.0" encoding="utf-8"?>
<ds:datastoreItem xmlns:ds="http://schemas.openxmlformats.org/officeDocument/2006/customXml" ds:itemID="{FBF06B22-812E-4918-9CF4-68CF6A215BA4}">
  <ds:schemaRefs>
    <ds:schemaRef ds:uri="http://schemas.openxmlformats.org/officeDocument/2006/bibliography"/>
  </ds:schemaRefs>
</ds:datastoreItem>
</file>

<file path=customXml/itemProps3.xml><?xml version="1.0" encoding="utf-8"?>
<ds:datastoreItem xmlns:ds="http://schemas.openxmlformats.org/officeDocument/2006/customXml" ds:itemID="{3B78D467-C2AB-4C51-9E37-E1BEFF415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39369-1f7d-4281-8938-dd34a2182174"/>
    <ds:schemaRef ds:uri="ee509b82-0bca-49ba-8efd-aa851410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B925D-7407-46C7-9B1C-44F2FB148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8834</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Sangmin Nam</dc:creator>
  <cp:keywords/>
  <dc:description/>
  <cp:lastModifiedBy>Minkyung Hong</cp:lastModifiedBy>
  <cp:revision>4</cp:revision>
  <cp:lastPrinted>2020-09-11T01:21:00Z</cp:lastPrinted>
  <dcterms:created xsi:type="dcterms:W3CDTF">2020-09-11T01:13:00Z</dcterms:created>
  <dcterms:modified xsi:type="dcterms:W3CDTF">2020-09-11T01:22:00Z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0x01010021754727DDF2004181DC5E9E376AF440</vt:lpwstr>
  </property>
</Properties>
</file>